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3B9" w:rsidRDefault="00CB63B9" w:rsidP="00CB63B9">
      <w:pPr>
        <w:shd w:val="clear" w:color="auto" w:fill="FFFFFF"/>
        <w:spacing w:after="100" w:afterAutospacing="1" w:line="600" w:lineRule="atLeast"/>
        <w:outlineLvl w:val="1"/>
        <w:rPr>
          <w:rFonts w:ascii="Open Sans" w:eastAsia="Times New Roman" w:hAnsi="Open Sans" w:cs="Times New Roman"/>
          <w:b/>
          <w:bCs/>
          <w:color w:val="1D2127"/>
          <w:spacing w:val="-15"/>
          <w:sz w:val="45"/>
          <w:szCs w:val="45"/>
          <w:lang w:eastAsia="es-AR"/>
        </w:rPr>
      </w:pPr>
      <w:r>
        <w:rPr>
          <w:rFonts w:ascii="Open Sans" w:eastAsia="Times New Roman" w:hAnsi="Open Sans" w:cs="Times New Roman"/>
          <w:b/>
          <w:bCs/>
          <w:color w:val="1D2127"/>
          <w:spacing w:val="-15"/>
          <w:sz w:val="45"/>
          <w:szCs w:val="45"/>
          <w:lang w:eastAsia="es-AR"/>
        </w:rPr>
        <w:t xml:space="preserve">ICP </w:t>
      </w:r>
    </w:p>
    <w:p w:rsidR="00CB63B9" w:rsidRPr="00CB63B9" w:rsidRDefault="00CB63B9" w:rsidP="00CB63B9">
      <w:pPr>
        <w:shd w:val="clear" w:color="auto" w:fill="FFFFFF"/>
        <w:spacing w:after="100" w:afterAutospacing="1" w:line="600" w:lineRule="atLeast"/>
        <w:outlineLvl w:val="1"/>
        <w:rPr>
          <w:rFonts w:ascii="Open Sans" w:eastAsia="Times New Roman" w:hAnsi="Open Sans" w:cs="Times New Roman"/>
          <w:b/>
          <w:bCs/>
          <w:color w:val="1D2127"/>
          <w:spacing w:val="-15"/>
          <w:sz w:val="45"/>
          <w:szCs w:val="45"/>
          <w:lang w:eastAsia="es-AR"/>
        </w:rPr>
      </w:pPr>
      <w:r w:rsidRPr="00CB63B9">
        <w:rPr>
          <w:rFonts w:ascii="Open Sans" w:eastAsia="Times New Roman" w:hAnsi="Open Sans" w:cs="Times New Roman"/>
          <w:b/>
          <w:bCs/>
          <w:color w:val="1D2127"/>
          <w:spacing w:val="-15"/>
          <w:sz w:val="45"/>
          <w:szCs w:val="45"/>
          <w:lang w:eastAsia="es-AR"/>
        </w:rPr>
        <w:t>Cirugía Traumatológica</w:t>
      </w:r>
    </w:p>
    <w:p w:rsidR="00CB63B9" w:rsidRPr="00CB63B9" w:rsidRDefault="00CB63B9" w:rsidP="00CB63B9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000000"/>
          <w:sz w:val="32"/>
          <w:szCs w:val="32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32"/>
          <w:szCs w:val="32"/>
          <w:lang w:eastAsia="es-AR"/>
        </w:rPr>
        <w:t>El profesional recibirá la capacitación teórica en las diferentes técnicas quirúrgicas y la capacitación practica para la realización de cada una de ellas. Esta capacitación incluye trabajo en quirófano.</w:t>
      </w:r>
    </w:p>
    <w:p w:rsidR="00CB63B9" w:rsidRPr="00CB63B9" w:rsidRDefault="00CB63B9" w:rsidP="00CB63B9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2859405" cy="1610360"/>
            <wp:effectExtent l="0" t="0" r="0" b="8890"/>
            <wp:docPr id="1" name="Imagen 1" descr="http://icpcordoba.com.ar/wp-content/uploads/2017/03/ICP-CORDOBA-35-300x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pcordoba.com.ar/wp-content/uploads/2017/03/ICP-CORDOBA-35-300x1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Cirugía de rodilla, corrección de la luxación de rotula y rotura de ligamentos cruzados, reparación por técnica intra y extra capsular.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Reparación quirúrgica de fracturas de radio y cubito en razas </w:t>
      </w:r>
      <w:proofErr w:type="spellStart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toy</w:t>
      </w:r>
      <w:proofErr w:type="spellEnd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. Técnicas quirúrgicas: ¿qué hay de nuevo?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Diferentes alternativas de reparación quirúrgica de fracturas de mandíbula en caninos y felinos.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Técnicas de reparación quirúrgica de fracturas de humero. </w:t>
      </w:r>
      <w:proofErr w:type="spellStart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Diafisarias</w:t>
      </w:r>
      <w:proofErr w:type="spellEnd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supra</w:t>
      </w: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softHyphen/>
        <w:t>condileas</w:t>
      </w:r>
      <w:proofErr w:type="spellEnd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 e </w:t>
      </w:r>
      <w:proofErr w:type="spellStart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intercondileas</w:t>
      </w:r>
      <w:proofErr w:type="spellEnd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. Opciones quirúrgicas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Reparación de fracturas simples y complejas de fémur. Diferentes técnicas.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Diagnóstico y manejo de las complicaciones más comunes en ortopedia: Un</w:t>
      </w: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softHyphen/>
        <w:t>iones retrasadas, no uniones y mala unión, osteomielitis.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Técnica quirúrgica para reparar fracturas de tibia.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Técnicas quirúrgicas para reparación de fracturas de cuello de fémur, opciones quirúrgicas para necrosis a vascular de cabeza de fémur, luxación de cadera reparación cerrada y abierta.</w:t>
      </w:r>
    </w:p>
    <w:p w:rsidR="00CB63B9" w:rsidRPr="00CB63B9" w:rsidRDefault="00CB63B9" w:rsidP="00CB63B9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Técnicas quirúrgicas para reparación de luxación de carpo y tarso, fracturas de metacarpianos y metatarsianos, fracturas de falanges.</w:t>
      </w:r>
    </w:p>
    <w:p w:rsidR="00CB63B9" w:rsidRPr="00CB63B9" w:rsidRDefault="00CB63B9" w:rsidP="00CB63B9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En cada técnica quirúrgica se contemplará estabilización hasta la cirugía, abordaje quirúrgico y técnica de osteosíntesis. Realizando las mismas por parte del profe</w:t>
      </w: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softHyphen/>
        <w:t>sor y los alumnos. Manejo post operatorio. Co</w:t>
      </w:r>
      <w:bookmarkStart w:id="0" w:name="_GoBack"/>
      <w:bookmarkEnd w:id="0"/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mplicaciones más comunes.</w:t>
      </w:r>
    </w:p>
    <w:p w:rsidR="00CB63B9" w:rsidRPr="00CB63B9" w:rsidRDefault="00CB63B9" w:rsidP="00CB63B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CB63B9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lastRenderedPageBreak/>
        <w:t>Capacitación con evaluación final</w:t>
      </w:r>
    </w:p>
    <w:p w:rsidR="00CD0156" w:rsidRDefault="0065627F"/>
    <w:sectPr w:rsidR="00CD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0F26"/>
    <w:multiLevelType w:val="multilevel"/>
    <w:tmpl w:val="ACE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B9"/>
    <w:rsid w:val="00084CA6"/>
    <w:rsid w:val="0065627F"/>
    <w:rsid w:val="00CB63B9"/>
    <w:rsid w:val="00F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1551"/>
  <w15:chartTrackingRefBased/>
  <w15:docId w15:val="{308DDB67-722C-4645-8DA7-850C0AE1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6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63B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B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2</cp:revision>
  <dcterms:created xsi:type="dcterms:W3CDTF">2018-01-02T18:55:00Z</dcterms:created>
  <dcterms:modified xsi:type="dcterms:W3CDTF">2018-01-02T18:55:00Z</dcterms:modified>
</cp:coreProperties>
</file>