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737" w:rsidRPr="00EB3737" w:rsidRDefault="00EB3737" w:rsidP="00BD1431">
      <w:pPr>
        <w:spacing w:after="0"/>
        <w:rPr>
          <w:rFonts w:eastAsia="Times New Roman" w:cstheme="minorHAnsi"/>
        </w:rPr>
      </w:pPr>
      <w:r w:rsidRPr="00EB3737">
        <w:rPr>
          <w:rFonts w:eastAsia="Times New Roman" w:cstheme="minorHAnsi"/>
          <w:color w:val="000000"/>
        </w:rPr>
        <w:t>Chua, Milan</w:t>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r>
      <w:r w:rsidR="003E71FE">
        <w:rPr>
          <w:rFonts w:eastAsia="Times New Roman" w:cstheme="minorHAnsi"/>
          <w:color w:val="000000"/>
        </w:rPr>
        <w:tab/>
        <w:t>November 14, 2013</w:t>
      </w:r>
    </w:p>
    <w:p w:rsidR="00EB3737" w:rsidRPr="00EB3737" w:rsidRDefault="00EB3737" w:rsidP="00BD1431">
      <w:pPr>
        <w:spacing w:after="0"/>
        <w:rPr>
          <w:rFonts w:eastAsia="Times New Roman" w:cstheme="minorHAnsi"/>
        </w:rPr>
      </w:pPr>
      <w:r w:rsidRPr="00EB3737">
        <w:rPr>
          <w:rFonts w:eastAsia="Times New Roman" w:cstheme="minorHAnsi"/>
          <w:color w:val="000000"/>
        </w:rPr>
        <w:t>Cruz, Raymond</w:t>
      </w:r>
    </w:p>
    <w:p w:rsidR="00EB3737" w:rsidRDefault="00EB3737" w:rsidP="00BD1431">
      <w:pPr>
        <w:spacing w:after="0"/>
        <w:rPr>
          <w:rFonts w:eastAsia="Times New Roman" w:cstheme="minorHAnsi"/>
          <w:color w:val="000000"/>
        </w:rPr>
      </w:pPr>
      <w:proofErr w:type="spellStart"/>
      <w:r w:rsidRPr="00EB3737">
        <w:rPr>
          <w:rFonts w:eastAsia="Times New Roman" w:cstheme="minorHAnsi"/>
          <w:color w:val="000000"/>
        </w:rPr>
        <w:t>Dy</w:t>
      </w:r>
      <w:proofErr w:type="spellEnd"/>
      <w:r w:rsidRPr="00EB3737">
        <w:rPr>
          <w:rFonts w:eastAsia="Times New Roman" w:cstheme="minorHAnsi"/>
          <w:color w:val="000000"/>
        </w:rPr>
        <w:t>, Timothy</w:t>
      </w:r>
    </w:p>
    <w:p w:rsidR="003E71FE" w:rsidRPr="00EB3737" w:rsidRDefault="003E71FE" w:rsidP="00BD1431">
      <w:pPr>
        <w:spacing w:after="0"/>
        <w:rPr>
          <w:rFonts w:eastAsia="Times New Roman" w:cstheme="minorHAnsi"/>
        </w:rPr>
      </w:pPr>
      <w:r>
        <w:rPr>
          <w:rFonts w:eastAsia="Times New Roman" w:cstheme="minorHAnsi"/>
          <w:color w:val="000000"/>
        </w:rPr>
        <w:t>ITM 189</w:t>
      </w:r>
    </w:p>
    <w:p w:rsidR="00EB3737" w:rsidRDefault="00EB3737" w:rsidP="00BD1431">
      <w:pPr>
        <w:spacing w:after="0"/>
        <w:rPr>
          <w:rFonts w:eastAsia="Times New Roman" w:cstheme="minorHAnsi"/>
        </w:rPr>
      </w:pPr>
    </w:p>
    <w:p w:rsidR="003E71FE" w:rsidRPr="00EB3737" w:rsidRDefault="003E71FE" w:rsidP="003E71FE">
      <w:pPr>
        <w:spacing w:after="0"/>
        <w:jc w:val="center"/>
        <w:rPr>
          <w:rFonts w:eastAsia="Times New Roman" w:cstheme="minorHAnsi"/>
        </w:rPr>
      </w:pPr>
      <w:r>
        <w:rPr>
          <w:rFonts w:eastAsia="Times New Roman" w:cstheme="minorHAnsi"/>
        </w:rPr>
        <w:t>Point of Sale Exercise on Jollibee Food Corporation</w:t>
      </w:r>
    </w:p>
    <w:p w:rsidR="00EB3737" w:rsidRPr="00BD1431" w:rsidRDefault="00EB3737" w:rsidP="00BD1431">
      <w:pPr>
        <w:pStyle w:val="ListParagraph"/>
        <w:numPr>
          <w:ilvl w:val="0"/>
          <w:numId w:val="6"/>
        </w:numPr>
        <w:spacing w:after="0"/>
        <w:textAlignment w:val="baseline"/>
        <w:rPr>
          <w:rFonts w:eastAsia="Times New Roman" w:cstheme="minorHAnsi"/>
          <w:color w:val="000000"/>
        </w:rPr>
      </w:pPr>
      <w:r w:rsidRPr="00BD1431">
        <w:rPr>
          <w:rFonts w:eastAsia="Times New Roman" w:cstheme="minorHAnsi"/>
          <w:color w:val="000000"/>
        </w:rPr>
        <w:t>Introduction</w:t>
      </w:r>
    </w:p>
    <w:p w:rsidR="00EB3737" w:rsidRPr="00EB3737" w:rsidRDefault="00EB3737" w:rsidP="00BD1431">
      <w:pPr>
        <w:spacing w:after="0"/>
        <w:rPr>
          <w:rFonts w:eastAsia="Times New Roman" w:cstheme="minorHAnsi"/>
        </w:rPr>
      </w:pPr>
      <w:r w:rsidRPr="00EB3737">
        <w:rPr>
          <w:rFonts w:eastAsia="Times New Roman" w:cstheme="minorHAnsi"/>
          <w:color w:val="000000"/>
        </w:rPr>
        <w:t xml:space="preserve">    </w:t>
      </w:r>
    </w:p>
    <w:p w:rsidR="00EB3737" w:rsidRPr="00EB3737" w:rsidRDefault="00EB3737" w:rsidP="00BD1431">
      <w:pPr>
        <w:spacing w:after="0"/>
        <w:ind w:firstLine="720"/>
        <w:rPr>
          <w:rFonts w:eastAsia="Times New Roman" w:cstheme="minorHAnsi"/>
        </w:rPr>
      </w:pPr>
      <w:r w:rsidRPr="00EB3737">
        <w:rPr>
          <w:rFonts w:eastAsia="Times New Roman" w:cstheme="minorHAnsi"/>
          <w:color w:val="000000"/>
        </w:rPr>
        <w:t xml:space="preserve">In this exercise, the group is in the middle of making a decision on building a POS system based on two alternatives for the whole Jollibee restaurant chain. We assume that Jollibee has 700 stores in total globally and uses an average of two POS terminals per store. </w:t>
      </w:r>
    </w:p>
    <w:p w:rsidR="00EB3737" w:rsidRPr="00EB3737" w:rsidRDefault="00EB3737" w:rsidP="00BD1431">
      <w:pPr>
        <w:spacing w:after="0"/>
        <w:ind w:firstLine="720"/>
        <w:rPr>
          <w:rFonts w:eastAsia="Times New Roman" w:cstheme="minorHAnsi"/>
        </w:rPr>
      </w:pPr>
      <w:r w:rsidRPr="00EB3737">
        <w:rPr>
          <w:rFonts w:eastAsia="Times New Roman" w:cstheme="minorHAnsi"/>
          <w:color w:val="000000"/>
        </w:rPr>
        <w:t>Again, we are tasked to weigh between two alternatives. The first alternative uses standalones backed up by a server. On the other hand, the second alternative uses cloud services.</w:t>
      </w:r>
    </w:p>
    <w:p w:rsidR="00EB3737" w:rsidRPr="00BD1431" w:rsidRDefault="00EB3737" w:rsidP="00BD1431">
      <w:pPr>
        <w:spacing w:after="0"/>
        <w:ind w:left="720"/>
        <w:textAlignment w:val="baseline"/>
        <w:rPr>
          <w:rFonts w:eastAsia="Times New Roman" w:cstheme="minorHAnsi"/>
          <w:color w:val="000000"/>
        </w:rPr>
      </w:pPr>
    </w:p>
    <w:p w:rsidR="00EB3737" w:rsidRPr="00BD1431" w:rsidRDefault="00EB3737" w:rsidP="00BD1431">
      <w:pPr>
        <w:pStyle w:val="ListParagraph"/>
        <w:numPr>
          <w:ilvl w:val="0"/>
          <w:numId w:val="6"/>
        </w:numPr>
        <w:spacing w:after="0"/>
        <w:textAlignment w:val="baseline"/>
        <w:rPr>
          <w:rFonts w:eastAsia="Times New Roman" w:cstheme="minorHAnsi"/>
          <w:color w:val="000000"/>
        </w:rPr>
      </w:pPr>
      <w:r w:rsidRPr="00BD1431">
        <w:rPr>
          <w:rFonts w:eastAsia="Times New Roman" w:cstheme="minorHAnsi"/>
          <w:color w:val="000000"/>
        </w:rPr>
        <w:t>Alternative 1</w:t>
      </w:r>
    </w:p>
    <w:p w:rsidR="00EB3737" w:rsidRPr="00EB3737" w:rsidRDefault="00EB3737" w:rsidP="00BD1431">
      <w:pPr>
        <w:spacing w:after="0"/>
        <w:rPr>
          <w:rFonts w:eastAsia="Times New Roman" w:cstheme="minorHAnsi"/>
        </w:rPr>
      </w:pPr>
      <w:r w:rsidRPr="00EB3737">
        <w:rPr>
          <w:rFonts w:eastAsia="Times New Roman" w:cstheme="minorHAnsi"/>
          <w:color w:val="000000"/>
        </w:rPr>
        <w:t xml:space="preserve">    </w:t>
      </w:r>
    </w:p>
    <w:p w:rsidR="00EB3737" w:rsidRPr="00BD1431" w:rsidRDefault="00EB3737" w:rsidP="00BD1431">
      <w:pPr>
        <w:pStyle w:val="ListParagraph"/>
        <w:numPr>
          <w:ilvl w:val="0"/>
          <w:numId w:val="7"/>
        </w:numPr>
        <w:spacing w:after="0"/>
        <w:rPr>
          <w:rFonts w:eastAsia="Times New Roman" w:cstheme="minorHAnsi"/>
        </w:rPr>
      </w:pPr>
      <w:r w:rsidRPr="00BD1431">
        <w:rPr>
          <w:rFonts w:eastAsia="Times New Roman" w:cstheme="minorHAnsi"/>
          <w:color w:val="000000"/>
        </w:rPr>
        <w:t xml:space="preserve">POS 1: HP </w:t>
      </w:r>
      <w:proofErr w:type="spellStart"/>
      <w:r w:rsidRPr="00BD1431">
        <w:rPr>
          <w:rFonts w:eastAsia="Times New Roman" w:cstheme="minorHAnsi"/>
          <w:color w:val="000000"/>
        </w:rPr>
        <w:t>ElitePad</w:t>
      </w:r>
      <w:proofErr w:type="spellEnd"/>
      <w:r w:rsidRPr="00BD1431">
        <w:rPr>
          <w:rFonts w:eastAsia="Times New Roman" w:cstheme="minorHAnsi"/>
          <w:color w:val="000000"/>
        </w:rPr>
        <w:t xml:space="preserve"> 900 = $979 per unit, </w:t>
      </w:r>
    </w:p>
    <w:p w:rsidR="00EB3737" w:rsidRPr="00EB3737" w:rsidRDefault="00EB3737" w:rsidP="00BD1431">
      <w:pPr>
        <w:spacing w:after="0"/>
        <w:ind w:left="720" w:firstLine="720"/>
        <w:rPr>
          <w:rFonts w:eastAsia="Times New Roman" w:cstheme="minorHAnsi"/>
        </w:rPr>
      </w:pPr>
      <w:r w:rsidRPr="00EB3737">
        <w:rPr>
          <w:rFonts w:eastAsia="Times New Roman" w:cstheme="minorHAnsi"/>
          <w:color w:val="000000"/>
        </w:rPr>
        <w:t>979 x 700</w:t>
      </w:r>
      <w:r w:rsidRPr="00BD1431">
        <w:rPr>
          <w:rFonts w:eastAsia="Times New Roman" w:cstheme="minorHAnsi"/>
          <w:color w:val="000000"/>
        </w:rPr>
        <w:t xml:space="preserve"> units</w:t>
      </w:r>
      <w:r w:rsidRPr="00EB3737">
        <w:rPr>
          <w:rFonts w:eastAsia="Times New Roman" w:cstheme="minorHAnsi"/>
          <w:color w:val="000000"/>
        </w:rPr>
        <w:t xml:space="preserve"> = $ 685,300</w:t>
      </w:r>
    </w:p>
    <w:p w:rsidR="00EB3737" w:rsidRPr="00EB3737" w:rsidRDefault="00EB3737" w:rsidP="00BD1431">
      <w:pPr>
        <w:spacing w:after="0"/>
        <w:rPr>
          <w:rFonts w:eastAsia="Times New Roman" w:cstheme="minorHAnsi"/>
        </w:rPr>
      </w:pPr>
      <w:r w:rsidRPr="00EB3737">
        <w:rPr>
          <w:rFonts w:eastAsia="Times New Roman" w:cstheme="minorHAnsi"/>
          <w:color w:val="000000"/>
        </w:rPr>
        <w:t>       </w:t>
      </w:r>
      <w:r w:rsidRPr="00BD1431">
        <w:rPr>
          <w:rFonts w:eastAsia="Times New Roman" w:cstheme="minorHAnsi"/>
          <w:color w:val="000000"/>
        </w:rPr>
        <w:tab/>
      </w:r>
      <w:r w:rsidRPr="00EB3737">
        <w:rPr>
          <w:rFonts w:eastAsia="Times New Roman" w:cstheme="minorHAnsi"/>
          <w:color w:val="000000"/>
        </w:rPr>
        <w:t xml:space="preserve"> </w:t>
      </w:r>
      <w:hyperlink r:id="rId6" w:history="1">
        <w:r w:rsidRPr="00BD1431">
          <w:rPr>
            <w:rFonts w:eastAsia="Times New Roman" w:cstheme="minorHAnsi"/>
            <w:color w:val="1155CC"/>
            <w:u w:val="single"/>
          </w:rPr>
          <w:t>http://posnation.com/shop_pos/complete_pos_systems?product_id=953</w:t>
        </w:r>
      </w:hyperlink>
    </w:p>
    <w:p w:rsidR="00EB3737" w:rsidRPr="00BD1431" w:rsidRDefault="00EB3737" w:rsidP="00BD1431">
      <w:pPr>
        <w:spacing w:after="0"/>
        <w:rPr>
          <w:rFonts w:eastAsia="Times New Roman" w:cstheme="minorHAnsi"/>
          <w:color w:val="000000"/>
        </w:rPr>
      </w:pPr>
      <w:r w:rsidRPr="00EB3737">
        <w:rPr>
          <w:rFonts w:eastAsia="Times New Roman" w:cstheme="minorHAnsi"/>
          <w:color w:val="000000"/>
        </w:rPr>
        <w:t xml:space="preserve">    </w:t>
      </w:r>
      <w:r w:rsidRPr="00BD1431">
        <w:rPr>
          <w:rFonts w:eastAsia="Times New Roman" w:cstheme="minorHAnsi"/>
          <w:color w:val="000000"/>
        </w:rPr>
        <w:tab/>
      </w:r>
    </w:p>
    <w:p w:rsidR="00EB3737" w:rsidRPr="00BD1431" w:rsidRDefault="00EB3737" w:rsidP="00BD1431">
      <w:pPr>
        <w:pStyle w:val="ListParagraph"/>
        <w:numPr>
          <w:ilvl w:val="0"/>
          <w:numId w:val="7"/>
        </w:numPr>
        <w:spacing w:after="0"/>
        <w:rPr>
          <w:rFonts w:eastAsia="Times New Roman" w:cstheme="minorHAnsi"/>
        </w:rPr>
      </w:pPr>
      <w:r w:rsidRPr="00BD1431">
        <w:rPr>
          <w:rFonts w:eastAsia="Times New Roman" w:cstheme="minorHAnsi"/>
          <w:color w:val="000000"/>
        </w:rPr>
        <w:t>POS 2: 15” Acer Terminal = $849 per unit</w:t>
      </w:r>
    </w:p>
    <w:p w:rsidR="00EB3737" w:rsidRPr="00EB3737" w:rsidRDefault="00EB3737" w:rsidP="00BD1431">
      <w:pPr>
        <w:spacing w:after="0"/>
        <w:rPr>
          <w:rFonts w:eastAsia="Times New Roman" w:cstheme="minorHAnsi"/>
        </w:rPr>
      </w:pPr>
      <w:r w:rsidRPr="00EB3737">
        <w:rPr>
          <w:rFonts w:eastAsia="Times New Roman" w:cstheme="minorHAnsi"/>
          <w:color w:val="000000"/>
        </w:rPr>
        <w:t xml:space="preserve">        </w:t>
      </w:r>
      <w:r w:rsidRPr="00BD1431">
        <w:rPr>
          <w:rFonts w:eastAsia="Times New Roman" w:cstheme="minorHAnsi"/>
          <w:color w:val="000000"/>
        </w:rPr>
        <w:tab/>
      </w:r>
      <w:r w:rsidRPr="00BD1431">
        <w:rPr>
          <w:rFonts w:eastAsia="Times New Roman" w:cstheme="minorHAnsi"/>
          <w:color w:val="000000"/>
        </w:rPr>
        <w:tab/>
      </w:r>
      <w:r w:rsidRPr="00EB3737">
        <w:rPr>
          <w:rFonts w:eastAsia="Times New Roman" w:cstheme="minorHAnsi"/>
          <w:color w:val="000000"/>
        </w:rPr>
        <w:t xml:space="preserve">849 x 700 </w:t>
      </w:r>
      <w:r w:rsidRPr="00BD1431">
        <w:rPr>
          <w:rFonts w:eastAsia="Times New Roman" w:cstheme="minorHAnsi"/>
          <w:color w:val="000000"/>
        </w:rPr>
        <w:t xml:space="preserve">units </w:t>
      </w:r>
      <w:r w:rsidRPr="00EB3737">
        <w:rPr>
          <w:rFonts w:eastAsia="Times New Roman" w:cstheme="minorHAnsi"/>
          <w:color w:val="000000"/>
        </w:rPr>
        <w:t>= $ 594,330</w:t>
      </w:r>
    </w:p>
    <w:p w:rsidR="00EB3737" w:rsidRPr="00BD1431" w:rsidRDefault="00EB3737" w:rsidP="00BD1431">
      <w:pPr>
        <w:spacing w:after="0"/>
        <w:rPr>
          <w:rFonts w:eastAsia="Times New Roman" w:cstheme="minorHAnsi"/>
          <w:color w:val="000000"/>
        </w:rPr>
      </w:pPr>
      <w:r w:rsidRPr="00EB3737">
        <w:rPr>
          <w:rFonts w:eastAsia="Times New Roman" w:cstheme="minorHAnsi"/>
          <w:color w:val="000000"/>
        </w:rPr>
        <w:t xml:space="preserve">    </w:t>
      </w:r>
      <w:r w:rsidRPr="00BD1431">
        <w:rPr>
          <w:rFonts w:eastAsia="Times New Roman" w:cstheme="minorHAnsi"/>
          <w:color w:val="000000"/>
        </w:rPr>
        <w:tab/>
      </w:r>
      <w:hyperlink r:id="rId7" w:history="1">
        <w:r w:rsidRPr="00BD1431">
          <w:rPr>
            <w:rFonts w:eastAsia="Times New Roman" w:cstheme="minorHAnsi"/>
            <w:color w:val="1155CC"/>
            <w:u w:val="single"/>
          </w:rPr>
          <w:t>http://www.kandkpos.com/hardware-pricing/</w:t>
        </w:r>
      </w:hyperlink>
    </w:p>
    <w:p w:rsidR="00EB3737" w:rsidRPr="00BD1431" w:rsidRDefault="00EB3737" w:rsidP="00BD1431">
      <w:pPr>
        <w:spacing w:after="0"/>
        <w:rPr>
          <w:rFonts w:eastAsia="Times New Roman" w:cstheme="minorHAnsi"/>
          <w:color w:val="000000"/>
        </w:rPr>
      </w:pPr>
    </w:p>
    <w:p w:rsidR="00EB3737" w:rsidRPr="00BD1431" w:rsidRDefault="00EB3737" w:rsidP="00BD1431">
      <w:pPr>
        <w:pStyle w:val="ListParagraph"/>
        <w:numPr>
          <w:ilvl w:val="0"/>
          <w:numId w:val="7"/>
        </w:numPr>
        <w:spacing w:after="0"/>
        <w:rPr>
          <w:rFonts w:eastAsia="Times New Roman" w:cstheme="minorHAnsi"/>
        </w:rPr>
      </w:pPr>
      <w:r w:rsidRPr="00BD1431">
        <w:rPr>
          <w:rFonts w:eastAsia="Times New Roman" w:cstheme="minorHAnsi"/>
          <w:color w:val="000000"/>
        </w:rPr>
        <w:t xml:space="preserve">Server: </w:t>
      </w:r>
      <w:r w:rsidR="00096E38">
        <w:rPr>
          <w:rFonts w:eastAsia="Times New Roman" w:cstheme="minorHAnsi"/>
          <w:color w:val="000000"/>
        </w:rPr>
        <w:t xml:space="preserve">Acer </w:t>
      </w:r>
      <w:r w:rsidRPr="00BD1431">
        <w:rPr>
          <w:rFonts w:eastAsia="Times New Roman" w:cstheme="minorHAnsi"/>
          <w:color w:val="000000"/>
        </w:rPr>
        <w:t>Back Office Server = $900</w:t>
      </w:r>
    </w:p>
    <w:p w:rsidR="00EB3737" w:rsidRPr="00BD1431" w:rsidRDefault="00EB3737" w:rsidP="00BD1431">
      <w:pPr>
        <w:pStyle w:val="ListParagraph"/>
        <w:spacing w:after="0"/>
        <w:ind w:left="1440"/>
        <w:rPr>
          <w:rFonts w:eastAsia="Times New Roman" w:cstheme="minorHAnsi"/>
        </w:rPr>
      </w:pPr>
      <w:r w:rsidRPr="00BD1431">
        <w:rPr>
          <w:rFonts w:eastAsia="Times New Roman" w:cstheme="minorHAnsi"/>
        </w:rPr>
        <w:t>900 x 700 units = $630,000</w:t>
      </w:r>
    </w:p>
    <w:p w:rsidR="00EB3737" w:rsidRPr="00EB3737" w:rsidRDefault="00EB3737" w:rsidP="00BD1431">
      <w:pPr>
        <w:spacing w:after="0"/>
        <w:rPr>
          <w:rFonts w:eastAsia="Times New Roman" w:cstheme="minorHAnsi"/>
        </w:rPr>
      </w:pPr>
      <w:r w:rsidRPr="00EB3737">
        <w:rPr>
          <w:rFonts w:eastAsia="Times New Roman" w:cstheme="minorHAnsi"/>
          <w:color w:val="000000"/>
        </w:rPr>
        <w:t xml:space="preserve">        </w:t>
      </w:r>
      <w:r w:rsidRPr="00BD1431">
        <w:rPr>
          <w:rFonts w:eastAsia="Times New Roman" w:cstheme="minorHAnsi"/>
          <w:color w:val="000000"/>
        </w:rPr>
        <w:tab/>
      </w:r>
      <w:hyperlink r:id="rId8" w:history="1">
        <w:r w:rsidRPr="00BD1431">
          <w:rPr>
            <w:rFonts w:eastAsia="Times New Roman" w:cstheme="minorHAnsi"/>
            <w:color w:val="1155CC"/>
            <w:u w:val="single"/>
          </w:rPr>
          <w:t>http://www.kandkpos.com/hardware-pricing/</w:t>
        </w:r>
      </w:hyperlink>
    </w:p>
    <w:p w:rsidR="00EB3737" w:rsidRPr="00BD1431" w:rsidRDefault="00EB3737" w:rsidP="00BD1431">
      <w:pPr>
        <w:spacing w:after="0"/>
        <w:rPr>
          <w:rFonts w:eastAsia="Times New Roman" w:cstheme="minorHAnsi"/>
          <w:color w:val="000000"/>
        </w:rPr>
      </w:pPr>
    </w:p>
    <w:p w:rsidR="00EB3737" w:rsidRPr="00BD1431" w:rsidRDefault="00EB3737" w:rsidP="00BD1431">
      <w:pPr>
        <w:spacing w:after="0"/>
        <w:rPr>
          <w:rFonts w:eastAsia="Times New Roman" w:cstheme="minorHAnsi"/>
          <w:color w:val="000000"/>
        </w:rPr>
      </w:pPr>
      <w:r w:rsidRPr="00BD1431">
        <w:rPr>
          <w:rFonts w:eastAsia="Times New Roman" w:cstheme="minorHAnsi"/>
          <w:color w:val="000000"/>
        </w:rPr>
        <w:tab/>
        <w:t>With regards to the software, each POS terminal</w:t>
      </w:r>
      <w:r w:rsidR="00096E38">
        <w:rPr>
          <w:rFonts w:eastAsia="Times New Roman" w:cstheme="minorHAnsi"/>
          <w:color w:val="000000"/>
        </w:rPr>
        <w:t>s are</w:t>
      </w:r>
      <w:r w:rsidRPr="00BD1431">
        <w:rPr>
          <w:rFonts w:eastAsia="Times New Roman" w:cstheme="minorHAnsi"/>
          <w:color w:val="000000"/>
        </w:rPr>
        <w:t xml:space="preserve"> already assumed to have been integrated with one. </w:t>
      </w:r>
      <w:r w:rsidR="00096E38">
        <w:rPr>
          <w:rFonts w:eastAsia="Times New Roman" w:cstheme="minorHAnsi"/>
          <w:color w:val="000000"/>
        </w:rPr>
        <w:t xml:space="preserve">For this alternative, the PLDT Alpha Enterprise’s Business DSL would be subscribed and this costs at P3000 per month. </w:t>
      </w:r>
      <w:r w:rsidR="00096E38" w:rsidRPr="00BD1431">
        <w:rPr>
          <w:rFonts w:eastAsia="Times New Roman" w:cstheme="minorHAnsi"/>
          <w:color w:val="000000"/>
        </w:rPr>
        <w:t xml:space="preserve">The advantage of this system is that each store is independent. </w:t>
      </w:r>
      <w:r w:rsidR="00096E38">
        <w:rPr>
          <w:rFonts w:eastAsia="Times New Roman" w:cstheme="minorHAnsi"/>
          <w:color w:val="000000"/>
        </w:rPr>
        <w:t xml:space="preserve">This </w:t>
      </w:r>
      <w:r w:rsidRPr="00BD1431">
        <w:rPr>
          <w:rFonts w:eastAsia="Times New Roman" w:cstheme="minorHAnsi"/>
          <w:color w:val="000000"/>
        </w:rPr>
        <w:t>advantage comes in handy since when a network in one store breaks down, other networks in other stores would not be affected as opposed to one big centralized system. Also, payment for any POS component would only be done once</w:t>
      </w:r>
    </w:p>
    <w:p w:rsidR="00EB3737" w:rsidRPr="00EB3737" w:rsidRDefault="00EB3737" w:rsidP="00BD1431">
      <w:pPr>
        <w:spacing w:after="0"/>
        <w:rPr>
          <w:rFonts w:eastAsia="Times New Roman" w:cstheme="minorHAnsi"/>
        </w:rPr>
      </w:pPr>
      <w:r w:rsidRPr="00BD1431">
        <w:rPr>
          <w:rFonts w:eastAsia="Times New Roman" w:cstheme="minorHAnsi"/>
        </w:rPr>
        <w:tab/>
        <w:t xml:space="preserve">The </w:t>
      </w:r>
      <w:r w:rsidR="00BD1431" w:rsidRPr="00BD1431">
        <w:rPr>
          <w:rFonts w:eastAsia="Times New Roman" w:cstheme="minorHAnsi"/>
        </w:rPr>
        <w:t>consequences lie</w:t>
      </w:r>
      <w:r w:rsidRPr="00BD1431">
        <w:rPr>
          <w:rFonts w:eastAsia="Times New Roman" w:cstheme="minorHAnsi"/>
        </w:rPr>
        <w:t xml:space="preserve"> b</w:t>
      </w:r>
      <w:r w:rsidR="00BD1431" w:rsidRPr="00BD1431">
        <w:rPr>
          <w:rFonts w:eastAsia="Times New Roman" w:cstheme="minorHAnsi"/>
        </w:rPr>
        <w:t>y the fact</w:t>
      </w:r>
      <w:r w:rsidR="00BD1431">
        <w:rPr>
          <w:rFonts w:eastAsia="Times New Roman" w:cstheme="minorHAnsi"/>
        </w:rPr>
        <w:t xml:space="preserve"> that there exists a number of POS hardware and an additional maintenance for the hardware. Another disadvantage is when the system crashes, all data can be completely wiped out. </w:t>
      </w:r>
      <w:proofErr w:type="gramStart"/>
      <w:r w:rsidR="00BD1431">
        <w:rPr>
          <w:rFonts w:eastAsia="Times New Roman" w:cstheme="minorHAnsi"/>
        </w:rPr>
        <w:t>A big</w:t>
      </w:r>
      <w:proofErr w:type="gramEnd"/>
      <w:r w:rsidR="00BD1431">
        <w:rPr>
          <w:rFonts w:eastAsia="Times New Roman" w:cstheme="minorHAnsi"/>
        </w:rPr>
        <w:t xml:space="preserve"> initial cash out on payment is also required</w:t>
      </w:r>
      <w:r w:rsidR="00096E38">
        <w:rPr>
          <w:rFonts w:eastAsia="Times New Roman" w:cstheme="minorHAnsi"/>
        </w:rPr>
        <w:t>.</w:t>
      </w:r>
    </w:p>
    <w:p w:rsidR="00EB3737" w:rsidRPr="00EB3737" w:rsidRDefault="00EB3737" w:rsidP="00BD1431">
      <w:pPr>
        <w:spacing w:after="240"/>
        <w:rPr>
          <w:rFonts w:eastAsia="Times New Roman" w:cstheme="minorHAnsi"/>
        </w:rPr>
      </w:pPr>
    </w:p>
    <w:p w:rsidR="00096E38" w:rsidRDefault="00096E38" w:rsidP="00096E38">
      <w:pPr>
        <w:pStyle w:val="ListParagraph"/>
        <w:spacing w:after="0"/>
        <w:ind w:left="1080"/>
        <w:textAlignment w:val="baseline"/>
        <w:rPr>
          <w:rFonts w:eastAsia="Times New Roman" w:cstheme="minorHAnsi"/>
          <w:color w:val="000000"/>
        </w:rPr>
      </w:pPr>
    </w:p>
    <w:p w:rsidR="00096E38" w:rsidRDefault="00096E38" w:rsidP="00096E38">
      <w:pPr>
        <w:pStyle w:val="ListParagraph"/>
        <w:spacing w:after="0"/>
        <w:ind w:left="1080"/>
        <w:textAlignment w:val="baseline"/>
        <w:rPr>
          <w:rFonts w:eastAsia="Times New Roman" w:cstheme="minorHAnsi"/>
          <w:color w:val="000000"/>
        </w:rPr>
      </w:pPr>
    </w:p>
    <w:p w:rsidR="00096E38" w:rsidRPr="003E71FE" w:rsidRDefault="00096E38" w:rsidP="003E71FE">
      <w:pPr>
        <w:spacing w:after="0"/>
        <w:textAlignment w:val="baseline"/>
        <w:rPr>
          <w:rFonts w:eastAsia="Times New Roman" w:cstheme="minorHAnsi"/>
          <w:color w:val="000000"/>
        </w:rPr>
      </w:pPr>
    </w:p>
    <w:p w:rsidR="00EB3737" w:rsidRPr="00BD1431" w:rsidRDefault="00EB3737" w:rsidP="00BD1431">
      <w:pPr>
        <w:pStyle w:val="ListParagraph"/>
        <w:numPr>
          <w:ilvl w:val="0"/>
          <w:numId w:val="6"/>
        </w:numPr>
        <w:spacing w:after="0"/>
        <w:textAlignment w:val="baseline"/>
        <w:rPr>
          <w:rFonts w:eastAsia="Times New Roman" w:cstheme="minorHAnsi"/>
          <w:color w:val="000000"/>
        </w:rPr>
      </w:pPr>
      <w:r w:rsidRPr="00BD1431">
        <w:rPr>
          <w:rFonts w:eastAsia="Times New Roman" w:cstheme="minorHAnsi"/>
          <w:color w:val="000000"/>
        </w:rPr>
        <w:lastRenderedPageBreak/>
        <w:t>Alternative 2 - Cloud-Based POS System</w:t>
      </w:r>
    </w:p>
    <w:p w:rsidR="00EB3737" w:rsidRPr="00EB3737" w:rsidRDefault="00EB3737" w:rsidP="00BD1431">
      <w:pPr>
        <w:numPr>
          <w:ilvl w:val="0"/>
          <w:numId w:val="4"/>
        </w:numPr>
        <w:spacing w:after="0"/>
        <w:textAlignment w:val="baseline"/>
        <w:rPr>
          <w:rFonts w:eastAsia="Times New Roman" w:cstheme="minorHAnsi"/>
          <w:color w:val="000000"/>
        </w:rPr>
      </w:pPr>
      <w:r w:rsidRPr="00EB3737">
        <w:rPr>
          <w:rFonts w:eastAsia="Times New Roman" w:cstheme="minorHAnsi"/>
          <w:color w:val="000000"/>
        </w:rPr>
        <w:t>Server - Windows Azure</w:t>
      </w:r>
    </w:p>
    <w:p w:rsidR="00EB3737" w:rsidRPr="00EB3737" w:rsidRDefault="00EB3737" w:rsidP="00BD1431">
      <w:pPr>
        <w:numPr>
          <w:ilvl w:val="1"/>
          <w:numId w:val="4"/>
        </w:numPr>
        <w:spacing w:after="0"/>
        <w:textAlignment w:val="baseline"/>
        <w:rPr>
          <w:rFonts w:eastAsia="Times New Roman" w:cstheme="minorHAnsi"/>
          <w:color w:val="000000"/>
        </w:rPr>
      </w:pPr>
      <w:r w:rsidRPr="00EB3737">
        <w:rPr>
          <w:rFonts w:eastAsia="Times New Roman" w:cstheme="minorHAnsi"/>
          <w:color w:val="000000"/>
        </w:rPr>
        <w:t>Server: Large(A3), Quad-core virtual processor, 7 GB RAM</w:t>
      </w:r>
    </w:p>
    <w:p w:rsidR="00EB3737" w:rsidRPr="00EB3737" w:rsidRDefault="00EB3737" w:rsidP="00BD1431">
      <w:pPr>
        <w:numPr>
          <w:ilvl w:val="1"/>
          <w:numId w:val="4"/>
        </w:numPr>
        <w:spacing w:after="0"/>
        <w:textAlignment w:val="baseline"/>
        <w:rPr>
          <w:rFonts w:eastAsia="Times New Roman" w:cstheme="minorHAnsi"/>
          <w:color w:val="000000"/>
        </w:rPr>
      </w:pPr>
      <w:r w:rsidRPr="00EB3737">
        <w:rPr>
          <w:rFonts w:eastAsia="Times New Roman" w:cstheme="minorHAnsi"/>
          <w:color w:val="000000"/>
        </w:rPr>
        <w:t>Cost: $238/month, $2,856/year</w:t>
      </w:r>
    </w:p>
    <w:p w:rsidR="00EB3737" w:rsidRPr="00EB3737" w:rsidRDefault="00EB3737" w:rsidP="00BD1431">
      <w:pPr>
        <w:numPr>
          <w:ilvl w:val="0"/>
          <w:numId w:val="4"/>
        </w:numPr>
        <w:spacing w:after="0"/>
        <w:textAlignment w:val="baseline"/>
        <w:rPr>
          <w:rFonts w:eastAsia="Times New Roman" w:cstheme="minorHAnsi"/>
          <w:color w:val="000000"/>
        </w:rPr>
      </w:pPr>
      <w:r w:rsidRPr="00EB3737">
        <w:rPr>
          <w:rFonts w:eastAsia="Times New Roman" w:cstheme="minorHAnsi"/>
          <w:color w:val="000000"/>
        </w:rPr>
        <w:t>POS Terminal</w:t>
      </w:r>
    </w:p>
    <w:p w:rsidR="00EB3737" w:rsidRPr="00EB3737" w:rsidRDefault="00EB3737" w:rsidP="00BD1431">
      <w:pPr>
        <w:numPr>
          <w:ilvl w:val="1"/>
          <w:numId w:val="4"/>
        </w:numPr>
        <w:spacing w:after="0"/>
        <w:textAlignment w:val="baseline"/>
        <w:rPr>
          <w:rFonts w:eastAsia="Times New Roman" w:cstheme="minorHAnsi"/>
          <w:color w:val="000000"/>
        </w:rPr>
      </w:pPr>
      <w:r w:rsidRPr="00EB3737">
        <w:rPr>
          <w:rFonts w:eastAsia="Times New Roman" w:cstheme="minorHAnsi"/>
          <w:color w:val="000000"/>
        </w:rPr>
        <w:t xml:space="preserve">Panasonic </w:t>
      </w:r>
      <w:proofErr w:type="spellStart"/>
      <w:r w:rsidRPr="00EB3737">
        <w:rPr>
          <w:rFonts w:eastAsia="Times New Roman" w:cstheme="minorHAnsi"/>
          <w:color w:val="000000"/>
        </w:rPr>
        <w:t>Envo</w:t>
      </w:r>
      <w:proofErr w:type="spellEnd"/>
      <w:r w:rsidRPr="00EB3737">
        <w:rPr>
          <w:rFonts w:eastAsia="Times New Roman" w:cstheme="minorHAnsi"/>
          <w:color w:val="000000"/>
        </w:rPr>
        <w:t xml:space="preserve"> JS-960</w:t>
      </w:r>
    </w:p>
    <w:p w:rsidR="00EB3737" w:rsidRPr="00EB3737" w:rsidRDefault="00EB3737" w:rsidP="00BD1431">
      <w:pPr>
        <w:numPr>
          <w:ilvl w:val="1"/>
          <w:numId w:val="4"/>
        </w:numPr>
        <w:spacing w:after="0"/>
        <w:textAlignment w:val="baseline"/>
        <w:rPr>
          <w:rFonts w:eastAsia="Times New Roman" w:cstheme="minorHAnsi"/>
          <w:color w:val="000000"/>
        </w:rPr>
      </w:pPr>
      <w:r w:rsidRPr="00EB3737">
        <w:rPr>
          <w:rFonts w:eastAsia="Times New Roman" w:cstheme="minorHAnsi"/>
          <w:color w:val="000000"/>
        </w:rPr>
        <w:t>Cost: $93.60</w:t>
      </w:r>
    </w:p>
    <w:p w:rsidR="00EB3737" w:rsidRPr="00EB3737" w:rsidRDefault="00EB3737" w:rsidP="00BD1431">
      <w:pPr>
        <w:numPr>
          <w:ilvl w:val="1"/>
          <w:numId w:val="4"/>
        </w:numPr>
        <w:spacing w:after="0"/>
        <w:textAlignment w:val="baseline"/>
        <w:rPr>
          <w:rFonts w:eastAsia="Times New Roman" w:cstheme="minorHAnsi"/>
          <w:color w:val="000000"/>
        </w:rPr>
      </w:pPr>
      <w:r w:rsidRPr="00EB3737">
        <w:rPr>
          <w:rFonts w:eastAsia="Times New Roman" w:cstheme="minorHAnsi"/>
          <w:color w:val="000000"/>
        </w:rPr>
        <w:t>Total Cost: $131,040 (1,400 units)</w:t>
      </w:r>
    </w:p>
    <w:p w:rsidR="00096E38" w:rsidRDefault="00096E38" w:rsidP="00096E38">
      <w:pPr>
        <w:spacing w:after="0"/>
        <w:ind w:left="720"/>
        <w:textAlignment w:val="baseline"/>
        <w:rPr>
          <w:rFonts w:eastAsia="Times New Roman" w:cstheme="minorHAnsi"/>
          <w:color w:val="000000"/>
        </w:rPr>
      </w:pPr>
    </w:p>
    <w:p w:rsidR="00096E38" w:rsidRDefault="00096E38" w:rsidP="003E71FE">
      <w:pPr>
        <w:spacing w:after="0"/>
        <w:ind w:firstLine="720"/>
        <w:textAlignment w:val="baseline"/>
        <w:rPr>
          <w:rFonts w:eastAsia="Times New Roman" w:cstheme="minorHAnsi"/>
          <w:color w:val="000000"/>
        </w:rPr>
      </w:pPr>
      <w:r>
        <w:rPr>
          <w:rFonts w:eastAsia="Times New Roman" w:cstheme="minorHAnsi"/>
          <w:color w:val="000000"/>
        </w:rPr>
        <w:t>For this alternative, the system will have to use open source software which will cut costs down. It will also have a different kind of POS terminal, albeit a cheaper kind, to accommodate the change in software.</w:t>
      </w:r>
    </w:p>
    <w:p w:rsidR="003E71FE" w:rsidRPr="003E71FE" w:rsidRDefault="00096E38" w:rsidP="003E71FE">
      <w:pPr>
        <w:spacing w:after="0"/>
        <w:ind w:firstLine="720"/>
        <w:textAlignment w:val="baseline"/>
        <w:rPr>
          <w:rFonts w:eastAsia="Times New Roman" w:cstheme="minorHAnsi"/>
          <w:color w:val="000000"/>
        </w:rPr>
      </w:pPr>
      <w:r>
        <w:rPr>
          <w:rFonts w:eastAsia="Times New Roman" w:cstheme="minorHAnsi"/>
          <w:color w:val="000000"/>
        </w:rPr>
        <w:t>The advantages for this alternative are that there is less hardware required as the POS terminals and DSL periphery is only needed. Also server maintenance and depreciation is not a concern. Also when the system plans to integrate a new store, the process won’t be as complicated.</w:t>
      </w:r>
      <w:r w:rsidR="003E71FE">
        <w:rPr>
          <w:rFonts w:eastAsia="Times New Roman" w:cstheme="minorHAnsi"/>
          <w:color w:val="000000"/>
        </w:rPr>
        <w:t xml:space="preserve"> </w:t>
      </w:r>
    </w:p>
    <w:p w:rsidR="003E71FE" w:rsidRPr="00EB3737" w:rsidRDefault="003E71FE" w:rsidP="00BD1431">
      <w:pPr>
        <w:spacing w:after="0"/>
        <w:rPr>
          <w:rFonts w:eastAsia="Times New Roman" w:cstheme="minorHAnsi"/>
        </w:rPr>
      </w:pPr>
    </w:p>
    <w:p w:rsidR="00C77619" w:rsidRPr="00C77619" w:rsidRDefault="00EB3737" w:rsidP="00C77619">
      <w:pPr>
        <w:pStyle w:val="ListParagraph"/>
        <w:numPr>
          <w:ilvl w:val="0"/>
          <w:numId w:val="6"/>
        </w:numPr>
        <w:spacing w:after="0"/>
        <w:textAlignment w:val="baseline"/>
        <w:rPr>
          <w:rFonts w:eastAsia="Times New Roman" w:cstheme="minorHAnsi"/>
          <w:color w:val="000000"/>
        </w:rPr>
      </w:pPr>
      <w:r w:rsidRPr="00BD1431">
        <w:rPr>
          <w:rFonts w:eastAsia="Times New Roman" w:cstheme="minorHAnsi"/>
          <w:color w:val="000000"/>
        </w:rPr>
        <w:t>Costing</w:t>
      </w:r>
    </w:p>
    <w:p w:rsidR="00C77619" w:rsidRDefault="00C77619" w:rsidP="00C77619">
      <w:pPr>
        <w:pStyle w:val="ListParagraph"/>
        <w:spacing w:after="0"/>
        <w:ind w:left="0" w:firstLine="720"/>
        <w:textAlignment w:val="baseline"/>
        <w:rPr>
          <w:rFonts w:eastAsia="Times New Roman" w:cstheme="minorHAnsi"/>
          <w:color w:val="000000"/>
        </w:rPr>
      </w:pPr>
      <w:r>
        <w:rPr>
          <w:rFonts w:eastAsia="Times New Roman" w:cstheme="minorHAnsi"/>
          <w:color w:val="000000"/>
        </w:rPr>
        <w:t>Cloud POS appears to be the more advantageous not just because of its qualities but also because of its cost efficiency. Jollibee might want to look into this prospect.</w:t>
      </w:r>
    </w:p>
    <w:tbl>
      <w:tblPr>
        <w:tblW w:w="11700" w:type="dxa"/>
        <w:tblInd w:w="-1062" w:type="dxa"/>
        <w:tblLook w:val="04A0" w:firstRow="1" w:lastRow="0" w:firstColumn="1" w:lastColumn="0" w:noHBand="0" w:noVBand="1"/>
      </w:tblPr>
      <w:tblGrid>
        <w:gridCol w:w="2070"/>
        <w:gridCol w:w="810"/>
        <w:gridCol w:w="1350"/>
        <w:gridCol w:w="270"/>
        <w:gridCol w:w="1440"/>
        <w:gridCol w:w="1331"/>
        <w:gridCol w:w="1103"/>
        <w:gridCol w:w="1103"/>
        <w:gridCol w:w="1103"/>
        <w:gridCol w:w="1191"/>
      </w:tblGrid>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Alternative 1</w:t>
            </w:r>
          </w:p>
        </w:tc>
        <w:tc>
          <w:tcPr>
            <w:tcW w:w="81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Units</w:t>
            </w:r>
          </w:p>
        </w:tc>
        <w:tc>
          <w:tcPr>
            <w:tcW w:w="135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Per Unit Cost</w:t>
            </w:r>
          </w:p>
        </w:tc>
        <w:tc>
          <w:tcPr>
            <w:tcW w:w="27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p>
        </w:tc>
        <w:tc>
          <w:tcPr>
            <w:tcW w:w="144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Year 0</w:t>
            </w:r>
          </w:p>
        </w:tc>
        <w:tc>
          <w:tcPr>
            <w:tcW w:w="126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Year 1</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2</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3</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 xml:space="preserve">Year 4 </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5</w:t>
            </w: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POS Terminal 1 </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700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Php43,076</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Php30,153,200.00</w:t>
            </w: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POS Terminal 2 </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700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Php37,356</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Php26,150,520.00</w:t>
            </w: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Back Office Server </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700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Php39,600</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Php630,000.00</w:t>
            </w: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DSL - PLDT Alpha Enterprise</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700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roofErr w:type="spellStart"/>
            <w:r w:rsidRPr="00070546">
              <w:rPr>
                <w:sz w:val="12"/>
              </w:rPr>
              <w:t>Php</w:t>
            </w:r>
            <w:proofErr w:type="spellEnd"/>
            <w:r w:rsidRPr="00070546">
              <w:rPr>
                <w:sz w:val="12"/>
              </w:rPr>
              <w:t xml:space="preserve"> 3000 per month</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rFonts w:ascii="Arial" w:hAnsi="Arial" w:cs="Arial"/>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Power Generated by Server**</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roofErr w:type="spellStart"/>
            <w:r w:rsidRPr="00070546">
              <w:rPr>
                <w:sz w:val="12"/>
              </w:rPr>
              <w:t>Php</w:t>
            </w:r>
            <w:proofErr w:type="spellEnd"/>
            <w:r w:rsidRPr="00070546">
              <w:rPr>
                <w:sz w:val="12"/>
              </w:rPr>
              <w:t xml:space="preserve"> 11.8 per KWH</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Php22,429.44</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Php22,429.44</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Php22,429.44</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Php22,429.44</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Php22,429.44</w:t>
            </w:r>
          </w:p>
        </w:tc>
      </w:tr>
      <w:tr w:rsidR="00070546" w:rsidRPr="00070546" w:rsidTr="00070546">
        <w:trPr>
          <w:trHeight w:val="315"/>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  Total</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Php56,933,720.00</w:t>
            </w:r>
          </w:p>
        </w:tc>
        <w:tc>
          <w:tcPr>
            <w:tcW w:w="1260"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Php25,222,429.44</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Php25,222,429.44</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Php25,222,429.44</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Php25,222,429.44</w:t>
            </w:r>
          </w:p>
        </w:tc>
        <w:tc>
          <w:tcPr>
            <w:tcW w:w="1191"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Php25,222,429.44</w:t>
            </w:r>
          </w:p>
        </w:tc>
      </w:tr>
      <w:tr w:rsidR="00070546" w:rsidRPr="00070546" w:rsidTr="00070546">
        <w:trPr>
          <w:trHeight w:val="315"/>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     NPV (discounted cash outflows)***</w:t>
            </w:r>
          </w:p>
        </w:tc>
        <w:tc>
          <w:tcPr>
            <w:tcW w:w="135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27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44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Php83,714,240.00</w:t>
            </w:r>
          </w:p>
        </w:tc>
        <w:tc>
          <w:tcPr>
            <w:tcW w:w="126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Php21,932,547.34</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Php19,071,780.29</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Php16,584,156.78</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Php14,421,005.89</w:t>
            </w:r>
          </w:p>
        </w:tc>
        <w:tc>
          <w:tcPr>
            <w:tcW w:w="1191" w:type="dxa"/>
            <w:tcBorders>
              <w:top w:val="single" w:sz="4" w:space="0" w:color="auto"/>
              <w:left w:val="nil"/>
              <w:bottom w:val="nil"/>
              <w:right w:val="single" w:sz="4" w:space="0" w:color="auto"/>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 xml:space="preserve">Php12,540,005.13 </w:t>
            </w:r>
          </w:p>
        </w:tc>
      </w:tr>
      <w:tr w:rsidR="00070546" w:rsidRPr="00070546" w:rsidTr="00070546">
        <w:trPr>
          <w:trHeight w:val="300"/>
        </w:trPr>
        <w:tc>
          <w:tcPr>
            <w:tcW w:w="2070" w:type="dxa"/>
            <w:tcBorders>
              <w:top w:val="nil"/>
              <w:left w:val="single" w:sz="4" w:space="0" w:color="auto"/>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single" w:sz="4" w:space="0" w:color="auto"/>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r>
      <w:tr w:rsidR="00070546" w:rsidRPr="00070546" w:rsidTr="00070546">
        <w:trPr>
          <w:trHeight w:val="300"/>
        </w:trPr>
        <w:tc>
          <w:tcPr>
            <w:tcW w:w="2070" w:type="dxa"/>
            <w:tcBorders>
              <w:top w:val="nil"/>
              <w:left w:val="single" w:sz="4" w:space="0" w:color="auto"/>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81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35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27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440" w:type="dxa"/>
            <w:tcBorders>
              <w:top w:val="nil"/>
              <w:left w:val="nil"/>
              <w:bottom w:val="single" w:sz="4" w:space="0" w:color="auto"/>
              <w:right w:val="nil"/>
            </w:tcBorders>
            <w:shd w:val="clear" w:color="auto" w:fill="auto"/>
            <w:noWrap/>
            <w:vAlign w:val="bottom"/>
            <w:hideMark/>
          </w:tcPr>
          <w:p w:rsidR="00070546" w:rsidRPr="00C77619" w:rsidRDefault="00070546" w:rsidP="00070546">
            <w:pPr>
              <w:pStyle w:val="NoSpacing"/>
              <w:rPr>
                <w:b/>
                <w:sz w:val="14"/>
              </w:rPr>
            </w:pPr>
            <w:r w:rsidRPr="00C77619">
              <w:rPr>
                <w:b/>
                <w:sz w:val="14"/>
              </w:rPr>
              <w:t>Total NPV</w:t>
            </w:r>
          </w:p>
        </w:tc>
        <w:tc>
          <w:tcPr>
            <w:tcW w:w="1260" w:type="dxa"/>
            <w:tcBorders>
              <w:top w:val="nil"/>
              <w:left w:val="nil"/>
              <w:bottom w:val="single" w:sz="4" w:space="0" w:color="auto"/>
              <w:right w:val="nil"/>
            </w:tcBorders>
            <w:shd w:val="clear" w:color="auto" w:fill="auto"/>
            <w:noWrap/>
            <w:vAlign w:val="bottom"/>
            <w:hideMark/>
          </w:tcPr>
          <w:p w:rsidR="00070546" w:rsidRPr="00C77619" w:rsidRDefault="00070546" w:rsidP="00070546">
            <w:pPr>
              <w:pStyle w:val="NoSpacing"/>
              <w:rPr>
                <w:b/>
                <w:sz w:val="14"/>
              </w:rPr>
            </w:pPr>
            <w:r w:rsidRPr="00C77619">
              <w:rPr>
                <w:b/>
                <w:sz w:val="14"/>
              </w:rPr>
              <w:t>Php168,263,735.43</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91" w:type="dxa"/>
            <w:tcBorders>
              <w:top w:val="nil"/>
              <w:left w:val="nil"/>
              <w:bottom w:val="single" w:sz="4" w:space="0" w:color="auto"/>
              <w:right w:val="single" w:sz="4" w:space="0" w:color="auto"/>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Alternative 2</w:t>
            </w:r>
          </w:p>
        </w:tc>
        <w:tc>
          <w:tcPr>
            <w:tcW w:w="81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Units</w:t>
            </w:r>
          </w:p>
        </w:tc>
        <w:tc>
          <w:tcPr>
            <w:tcW w:w="135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Per Unit Cost</w:t>
            </w:r>
          </w:p>
        </w:tc>
        <w:tc>
          <w:tcPr>
            <w:tcW w:w="27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p>
        </w:tc>
        <w:tc>
          <w:tcPr>
            <w:tcW w:w="144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Year 0</w:t>
            </w:r>
          </w:p>
        </w:tc>
        <w:tc>
          <w:tcPr>
            <w:tcW w:w="1260" w:type="dxa"/>
            <w:tcBorders>
              <w:top w:val="nil"/>
              <w:left w:val="nil"/>
              <w:bottom w:val="nil"/>
              <w:right w:val="nil"/>
            </w:tcBorders>
            <w:shd w:val="clear" w:color="auto" w:fill="auto"/>
            <w:noWrap/>
            <w:vAlign w:val="bottom"/>
            <w:hideMark/>
          </w:tcPr>
          <w:p w:rsidR="00070546" w:rsidRPr="00C77619" w:rsidRDefault="00070546" w:rsidP="00070546">
            <w:pPr>
              <w:pStyle w:val="NoSpacing"/>
              <w:rPr>
                <w:b/>
                <w:sz w:val="12"/>
              </w:rPr>
            </w:pPr>
            <w:r w:rsidRPr="00C77619">
              <w:rPr>
                <w:b/>
                <w:sz w:val="12"/>
              </w:rPr>
              <w:t>Year 1</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2</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3</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 xml:space="preserve">Year 4 </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b/>
                <w:bCs/>
                <w:color w:val="000000"/>
                <w:sz w:val="12"/>
              </w:rPr>
            </w:pPr>
            <w:r w:rsidRPr="00070546">
              <w:rPr>
                <w:rFonts w:ascii="Calibri" w:eastAsia="Times New Roman" w:hAnsi="Calibri" w:cs="Calibri"/>
                <w:b/>
                <w:bCs/>
                <w:color w:val="000000"/>
                <w:sz w:val="12"/>
              </w:rPr>
              <w:t>Year 5</w:t>
            </w: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POS Terminal (Panasonic </w:t>
            </w:r>
            <w:proofErr w:type="spellStart"/>
            <w:r w:rsidRPr="00070546">
              <w:rPr>
                <w:sz w:val="12"/>
              </w:rPr>
              <w:t>Envo</w:t>
            </w:r>
            <w:proofErr w:type="spellEnd"/>
            <w:r w:rsidRPr="00070546">
              <w:rPr>
                <w:sz w:val="12"/>
              </w:rPr>
              <w:t xml:space="preserve"> JS-960)</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1400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Php4,118.40</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Php5,765,760.00</w:t>
            </w: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Cloud Server (Windows Azure)</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1</w:t>
            </w:r>
          </w:p>
        </w:tc>
        <w:tc>
          <w:tcPr>
            <w:tcW w:w="1620" w:type="dxa"/>
            <w:gridSpan w:val="2"/>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roofErr w:type="spellStart"/>
            <w:r w:rsidRPr="00070546">
              <w:rPr>
                <w:sz w:val="12"/>
              </w:rPr>
              <w:t>Php</w:t>
            </w:r>
            <w:proofErr w:type="spellEnd"/>
            <w:r w:rsidRPr="00070546">
              <w:rPr>
                <w:sz w:val="12"/>
              </w:rPr>
              <w:t xml:space="preserve"> 10472 per month</w:t>
            </w: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Php126,192.00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Php126,192.00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Php126,192.00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Php126,192.00</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Php126,192.00</w:t>
            </w: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Software - Open Source</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1</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DSL - PLDT Alpha Enterprise</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700</w:t>
            </w: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roofErr w:type="spellStart"/>
            <w:r w:rsidRPr="00070546">
              <w:rPr>
                <w:sz w:val="12"/>
              </w:rPr>
              <w:t>Php</w:t>
            </w:r>
            <w:proofErr w:type="spellEnd"/>
            <w:r w:rsidRPr="00070546">
              <w:rPr>
                <w:sz w:val="12"/>
              </w:rPr>
              <w:t xml:space="preserve"> 3000 per month</w:t>
            </w: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Php25,200,000.00</w:t>
            </w:r>
          </w:p>
        </w:tc>
      </w:tr>
      <w:tr w:rsidR="00070546" w:rsidRPr="00070546" w:rsidTr="00070546">
        <w:trPr>
          <w:trHeight w:val="315"/>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  Total</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double" w:sz="6"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Php5,765,760.00</w:t>
            </w:r>
          </w:p>
        </w:tc>
        <w:tc>
          <w:tcPr>
            <w:tcW w:w="1260"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Php25,326,192.00</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Php25,326,192.00</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Php25,326,192.00</w:t>
            </w:r>
          </w:p>
        </w:tc>
        <w:tc>
          <w:tcPr>
            <w:tcW w:w="1103"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Php25,326,192.00</w:t>
            </w:r>
          </w:p>
        </w:tc>
        <w:tc>
          <w:tcPr>
            <w:tcW w:w="1191" w:type="dxa"/>
            <w:tcBorders>
              <w:top w:val="single" w:sz="4" w:space="0" w:color="auto"/>
              <w:left w:val="nil"/>
              <w:bottom w:val="double" w:sz="6" w:space="0" w:color="auto"/>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Php25,326,192.00</w:t>
            </w:r>
          </w:p>
        </w:tc>
      </w:tr>
      <w:tr w:rsidR="00070546" w:rsidRPr="00070546" w:rsidTr="00070546">
        <w:trPr>
          <w:trHeight w:val="315"/>
        </w:trPr>
        <w:tc>
          <w:tcPr>
            <w:tcW w:w="20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r>
      <w:tr w:rsidR="00070546" w:rsidRPr="00070546" w:rsidTr="00070546">
        <w:trPr>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xml:space="preserve">     NPV (discounted cash outflows)***</w:t>
            </w:r>
          </w:p>
        </w:tc>
        <w:tc>
          <w:tcPr>
            <w:tcW w:w="135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27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44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Php5,765,760.00</w:t>
            </w:r>
          </w:p>
        </w:tc>
        <w:tc>
          <w:tcPr>
            <w:tcW w:w="1260" w:type="dxa"/>
            <w:tcBorders>
              <w:top w:val="single" w:sz="4" w:space="0" w:color="auto"/>
              <w:left w:val="nil"/>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Php22,022,775.65</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Php19,150,239.70</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Php16,652,382.35</w:t>
            </w:r>
          </w:p>
        </w:tc>
        <w:tc>
          <w:tcPr>
            <w:tcW w:w="1103" w:type="dxa"/>
            <w:tcBorders>
              <w:top w:val="single" w:sz="4" w:space="0" w:color="auto"/>
              <w:left w:val="nil"/>
              <w:bottom w:val="nil"/>
              <w:right w:val="nil"/>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Php14,480,332.47</w:t>
            </w:r>
          </w:p>
        </w:tc>
        <w:tc>
          <w:tcPr>
            <w:tcW w:w="1191" w:type="dxa"/>
            <w:tcBorders>
              <w:top w:val="single" w:sz="4" w:space="0" w:color="auto"/>
              <w:left w:val="nil"/>
              <w:bottom w:val="nil"/>
              <w:right w:val="single" w:sz="4" w:space="0" w:color="auto"/>
            </w:tcBorders>
            <w:shd w:val="clear" w:color="auto" w:fill="auto"/>
            <w:noWrap/>
            <w:vAlign w:val="bottom"/>
            <w:hideMark/>
          </w:tcPr>
          <w:p w:rsidR="00070546" w:rsidRPr="00070546" w:rsidRDefault="00070546" w:rsidP="00070546">
            <w:pPr>
              <w:spacing w:after="0" w:line="240" w:lineRule="auto"/>
              <w:jc w:val="right"/>
              <w:rPr>
                <w:rFonts w:ascii="Calibri" w:eastAsia="Times New Roman" w:hAnsi="Calibri" w:cs="Calibri"/>
                <w:color w:val="000000"/>
                <w:sz w:val="12"/>
              </w:rPr>
            </w:pPr>
            <w:r w:rsidRPr="00070546">
              <w:rPr>
                <w:rFonts w:ascii="Calibri" w:eastAsia="Times New Roman" w:hAnsi="Calibri" w:cs="Calibri"/>
                <w:color w:val="000000"/>
                <w:sz w:val="12"/>
              </w:rPr>
              <w:t xml:space="preserve">Php12,591,593.46 </w:t>
            </w:r>
          </w:p>
        </w:tc>
      </w:tr>
      <w:tr w:rsidR="00070546" w:rsidRPr="00070546" w:rsidTr="00070546">
        <w:trPr>
          <w:trHeight w:val="300"/>
        </w:trPr>
        <w:tc>
          <w:tcPr>
            <w:tcW w:w="2070" w:type="dxa"/>
            <w:tcBorders>
              <w:top w:val="nil"/>
              <w:left w:val="single" w:sz="4" w:space="0" w:color="auto"/>
              <w:bottom w:val="nil"/>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81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35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27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44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260" w:type="dxa"/>
            <w:tcBorders>
              <w:top w:val="nil"/>
              <w:left w:val="nil"/>
              <w:bottom w:val="nil"/>
              <w:right w:val="nil"/>
            </w:tcBorders>
            <w:shd w:val="clear" w:color="auto" w:fill="auto"/>
            <w:noWrap/>
            <w:vAlign w:val="bottom"/>
            <w:hideMark/>
          </w:tcPr>
          <w:p w:rsidR="00070546" w:rsidRPr="00070546" w:rsidRDefault="00070546" w:rsidP="00070546">
            <w:pPr>
              <w:pStyle w:val="NoSpacing"/>
              <w:rPr>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03" w:type="dxa"/>
            <w:tcBorders>
              <w:top w:val="nil"/>
              <w:left w:val="nil"/>
              <w:bottom w:val="nil"/>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p>
        </w:tc>
        <w:tc>
          <w:tcPr>
            <w:tcW w:w="1191" w:type="dxa"/>
            <w:tcBorders>
              <w:top w:val="nil"/>
              <w:left w:val="nil"/>
              <w:bottom w:val="nil"/>
              <w:right w:val="single" w:sz="4" w:space="0" w:color="auto"/>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r>
      <w:tr w:rsidR="00070546" w:rsidRPr="00070546" w:rsidTr="00070546">
        <w:trPr>
          <w:trHeight w:val="300"/>
        </w:trPr>
        <w:tc>
          <w:tcPr>
            <w:tcW w:w="2070" w:type="dxa"/>
            <w:tcBorders>
              <w:top w:val="nil"/>
              <w:left w:val="single" w:sz="4" w:space="0" w:color="auto"/>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81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35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270" w:type="dxa"/>
            <w:tcBorders>
              <w:top w:val="nil"/>
              <w:left w:val="nil"/>
              <w:bottom w:val="single" w:sz="4" w:space="0" w:color="auto"/>
              <w:right w:val="nil"/>
            </w:tcBorders>
            <w:shd w:val="clear" w:color="auto" w:fill="auto"/>
            <w:noWrap/>
            <w:vAlign w:val="bottom"/>
            <w:hideMark/>
          </w:tcPr>
          <w:p w:rsidR="00070546" w:rsidRPr="00070546" w:rsidRDefault="00070546" w:rsidP="00070546">
            <w:pPr>
              <w:pStyle w:val="NoSpacing"/>
              <w:rPr>
                <w:sz w:val="12"/>
              </w:rPr>
            </w:pPr>
            <w:r w:rsidRPr="00070546">
              <w:rPr>
                <w:sz w:val="12"/>
              </w:rPr>
              <w:t> </w:t>
            </w:r>
          </w:p>
        </w:tc>
        <w:tc>
          <w:tcPr>
            <w:tcW w:w="1440" w:type="dxa"/>
            <w:tcBorders>
              <w:top w:val="nil"/>
              <w:left w:val="nil"/>
              <w:bottom w:val="single" w:sz="4" w:space="0" w:color="auto"/>
              <w:right w:val="nil"/>
            </w:tcBorders>
            <w:shd w:val="clear" w:color="auto" w:fill="auto"/>
            <w:noWrap/>
            <w:vAlign w:val="bottom"/>
            <w:hideMark/>
          </w:tcPr>
          <w:p w:rsidR="00070546" w:rsidRPr="00C77619" w:rsidRDefault="00070546" w:rsidP="00070546">
            <w:pPr>
              <w:pStyle w:val="NoSpacing"/>
              <w:rPr>
                <w:b/>
                <w:sz w:val="14"/>
              </w:rPr>
            </w:pPr>
            <w:r w:rsidRPr="00C77619">
              <w:rPr>
                <w:b/>
                <w:sz w:val="14"/>
              </w:rPr>
              <w:t>Total NPV</w:t>
            </w:r>
          </w:p>
        </w:tc>
        <w:tc>
          <w:tcPr>
            <w:tcW w:w="1260" w:type="dxa"/>
            <w:tcBorders>
              <w:top w:val="nil"/>
              <w:left w:val="nil"/>
              <w:bottom w:val="single" w:sz="4" w:space="0" w:color="auto"/>
              <w:right w:val="nil"/>
            </w:tcBorders>
            <w:shd w:val="clear" w:color="auto" w:fill="auto"/>
            <w:noWrap/>
            <w:vAlign w:val="bottom"/>
            <w:hideMark/>
          </w:tcPr>
          <w:p w:rsidR="00070546" w:rsidRPr="00C77619" w:rsidRDefault="00070546" w:rsidP="00070546">
            <w:pPr>
              <w:pStyle w:val="NoSpacing"/>
              <w:rPr>
                <w:b/>
                <w:sz w:val="14"/>
              </w:rPr>
            </w:pPr>
            <w:r w:rsidRPr="00C77619">
              <w:rPr>
                <w:b/>
                <w:sz w:val="14"/>
              </w:rPr>
              <w:t>Php90,663,083.63</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03" w:type="dxa"/>
            <w:tcBorders>
              <w:top w:val="nil"/>
              <w:left w:val="nil"/>
              <w:bottom w:val="single" w:sz="4" w:space="0" w:color="auto"/>
              <w:right w:val="nil"/>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c>
          <w:tcPr>
            <w:tcW w:w="1191" w:type="dxa"/>
            <w:tcBorders>
              <w:top w:val="nil"/>
              <w:left w:val="nil"/>
              <w:bottom w:val="single" w:sz="4" w:space="0" w:color="auto"/>
              <w:right w:val="single" w:sz="4" w:space="0" w:color="auto"/>
            </w:tcBorders>
            <w:shd w:val="clear" w:color="auto" w:fill="auto"/>
            <w:noWrap/>
            <w:vAlign w:val="bottom"/>
            <w:hideMark/>
          </w:tcPr>
          <w:p w:rsidR="00070546" w:rsidRPr="00070546" w:rsidRDefault="00070546" w:rsidP="00070546">
            <w:pPr>
              <w:spacing w:after="0" w:line="240" w:lineRule="auto"/>
              <w:rPr>
                <w:rFonts w:ascii="Calibri" w:eastAsia="Times New Roman" w:hAnsi="Calibri" w:cs="Calibri"/>
                <w:color w:val="000000"/>
                <w:sz w:val="12"/>
              </w:rPr>
            </w:pPr>
            <w:r w:rsidRPr="00070546">
              <w:rPr>
                <w:rFonts w:ascii="Calibri" w:eastAsia="Times New Roman" w:hAnsi="Calibri" w:cs="Calibri"/>
                <w:color w:val="000000"/>
                <w:sz w:val="12"/>
              </w:rPr>
              <w:t> </w:t>
            </w:r>
          </w:p>
        </w:tc>
      </w:tr>
    </w:tbl>
    <w:p w:rsidR="00070546" w:rsidRPr="003E71FE" w:rsidRDefault="00070546" w:rsidP="00070546">
      <w:pPr>
        <w:pStyle w:val="ListParagraph"/>
        <w:spacing w:after="0"/>
        <w:ind w:left="1080"/>
        <w:textAlignment w:val="baseline"/>
        <w:rPr>
          <w:rFonts w:eastAsia="Times New Roman" w:cstheme="minorHAnsi"/>
          <w:color w:val="000000"/>
        </w:rPr>
      </w:pPr>
      <w:bookmarkStart w:id="0" w:name="_GoBack"/>
      <w:bookmarkEnd w:id="0"/>
    </w:p>
    <w:sectPr w:rsidR="00070546" w:rsidRPr="003E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426C"/>
    <w:multiLevelType w:val="hybridMultilevel"/>
    <w:tmpl w:val="B5B46196"/>
    <w:lvl w:ilvl="0" w:tplc="4D02BBBE">
      <w:start w:val="4"/>
      <w:numFmt w:val="upperRoman"/>
      <w:lvlText w:val="%1."/>
      <w:lvlJc w:val="right"/>
      <w:pPr>
        <w:tabs>
          <w:tab w:val="num" w:pos="720"/>
        </w:tabs>
        <w:ind w:left="720" w:hanging="360"/>
      </w:pPr>
    </w:lvl>
    <w:lvl w:ilvl="1" w:tplc="186E732E" w:tentative="1">
      <w:start w:val="1"/>
      <w:numFmt w:val="decimal"/>
      <w:lvlText w:val="%2."/>
      <w:lvlJc w:val="left"/>
      <w:pPr>
        <w:tabs>
          <w:tab w:val="num" w:pos="1440"/>
        </w:tabs>
        <w:ind w:left="1440" w:hanging="360"/>
      </w:pPr>
    </w:lvl>
    <w:lvl w:ilvl="2" w:tplc="179881DA" w:tentative="1">
      <w:start w:val="1"/>
      <w:numFmt w:val="decimal"/>
      <w:lvlText w:val="%3."/>
      <w:lvlJc w:val="left"/>
      <w:pPr>
        <w:tabs>
          <w:tab w:val="num" w:pos="2160"/>
        </w:tabs>
        <w:ind w:left="2160" w:hanging="360"/>
      </w:pPr>
    </w:lvl>
    <w:lvl w:ilvl="3" w:tplc="2BC0DEB4" w:tentative="1">
      <w:start w:val="1"/>
      <w:numFmt w:val="decimal"/>
      <w:lvlText w:val="%4."/>
      <w:lvlJc w:val="left"/>
      <w:pPr>
        <w:tabs>
          <w:tab w:val="num" w:pos="2880"/>
        </w:tabs>
        <w:ind w:left="2880" w:hanging="360"/>
      </w:pPr>
    </w:lvl>
    <w:lvl w:ilvl="4" w:tplc="2D1CD442" w:tentative="1">
      <w:start w:val="1"/>
      <w:numFmt w:val="decimal"/>
      <w:lvlText w:val="%5."/>
      <w:lvlJc w:val="left"/>
      <w:pPr>
        <w:tabs>
          <w:tab w:val="num" w:pos="3600"/>
        </w:tabs>
        <w:ind w:left="3600" w:hanging="360"/>
      </w:pPr>
    </w:lvl>
    <w:lvl w:ilvl="5" w:tplc="76308F58" w:tentative="1">
      <w:start w:val="1"/>
      <w:numFmt w:val="decimal"/>
      <w:lvlText w:val="%6."/>
      <w:lvlJc w:val="left"/>
      <w:pPr>
        <w:tabs>
          <w:tab w:val="num" w:pos="4320"/>
        </w:tabs>
        <w:ind w:left="4320" w:hanging="360"/>
      </w:pPr>
    </w:lvl>
    <w:lvl w:ilvl="6" w:tplc="BCFA5032" w:tentative="1">
      <w:start w:val="1"/>
      <w:numFmt w:val="decimal"/>
      <w:lvlText w:val="%7."/>
      <w:lvlJc w:val="left"/>
      <w:pPr>
        <w:tabs>
          <w:tab w:val="num" w:pos="5040"/>
        </w:tabs>
        <w:ind w:left="5040" w:hanging="360"/>
      </w:pPr>
    </w:lvl>
    <w:lvl w:ilvl="7" w:tplc="EA58E79A" w:tentative="1">
      <w:start w:val="1"/>
      <w:numFmt w:val="decimal"/>
      <w:lvlText w:val="%8."/>
      <w:lvlJc w:val="left"/>
      <w:pPr>
        <w:tabs>
          <w:tab w:val="num" w:pos="5760"/>
        </w:tabs>
        <w:ind w:left="5760" w:hanging="360"/>
      </w:pPr>
    </w:lvl>
    <w:lvl w:ilvl="8" w:tplc="C4544CC0" w:tentative="1">
      <w:start w:val="1"/>
      <w:numFmt w:val="decimal"/>
      <w:lvlText w:val="%9."/>
      <w:lvlJc w:val="left"/>
      <w:pPr>
        <w:tabs>
          <w:tab w:val="num" w:pos="6480"/>
        </w:tabs>
        <w:ind w:left="6480" w:hanging="360"/>
      </w:pPr>
    </w:lvl>
  </w:abstractNum>
  <w:abstractNum w:abstractNumId="1">
    <w:nsid w:val="387E778F"/>
    <w:multiLevelType w:val="hybridMultilevel"/>
    <w:tmpl w:val="113C8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8939EB"/>
    <w:multiLevelType w:val="hybridMultilevel"/>
    <w:tmpl w:val="41D88950"/>
    <w:lvl w:ilvl="0" w:tplc="5F1419BE">
      <w:start w:val="2"/>
      <w:numFmt w:val="upperRoman"/>
      <w:lvlText w:val="%1."/>
      <w:lvlJc w:val="right"/>
      <w:pPr>
        <w:tabs>
          <w:tab w:val="num" w:pos="720"/>
        </w:tabs>
        <w:ind w:left="720" w:hanging="360"/>
      </w:pPr>
    </w:lvl>
    <w:lvl w:ilvl="1" w:tplc="F4EA3E52" w:tentative="1">
      <w:start w:val="1"/>
      <w:numFmt w:val="decimal"/>
      <w:lvlText w:val="%2."/>
      <w:lvlJc w:val="left"/>
      <w:pPr>
        <w:tabs>
          <w:tab w:val="num" w:pos="1440"/>
        </w:tabs>
        <w:ind w:left="1440" w:hanging="360"/>
      </w:pPr>
    </w:lvl>
    <w:lvl w:ilvl="2" w:tplc="24983580" w:tentative="1">
      <w:start w:val="1"/>
      <w:numFmt w:val="decimal"/>
      <w:lvlText w:val="%3."/>
      <w:lvlJc w:val="left"/>
      <w:pPr>
        <w:tabs>
          <w:tab w:val="num" w:pos="2160"/>
        </w:tabs>
        <w:ind w:left="2160" w:hanging="360"/>
      </w:pPr>
    </w:lvl>
    <w:lvl w:ilvl="3" w:tplc="D67E26B6" w:tentative="1">
      <w:start w:val="1"/>
      <w:numFmt w:val="decimal"/>
      <w:lvlText w:val="%4."/>
      <w:lvlJc w:val="left"/>
      <w:pPr>
        <w:tabs>
          <w:tab w:val="num" w:pos="2880"/>
        </w:tabs>
        <w:ind w:left="2880" w:hanging="360"/>
      </w:pPr>
    </w:lvl>
    <w:lvl w:ilvl="4" w:tplc="5E9AA25A" w:tentative="1">
      <w:start w:val="1"/>
      <w:numFmt w:val="decimal"/>
      <w:lvlText w:val="%5."/>
      <w:lvlJc w:val="left"/>
      <w:pPr>
        <w:tabs>
          <w:tab w:val="num" w:pos="3600"/>
        </w:tabs>
        <w:ind w:left="3600" w:hanging="360"/>
      </w:pPr>
    </w:lvl>
    <w:lvl w:ilvl="5" w:tplc="CEB81778" w:tentative="1">
      <w:start w:val="1"/>
      <w:numFmt w:val="decimal"/>
      <w:lvlText w:val="%6."/>
      <w:lvlJc w:val="left"/>
      <w:pPr>
        <w:tabs>
          <w:tab w:val="num" w:pos="4320"/>
        </w:tabs>
        <w:ind w:left="4320" w:hanging="360"/>
      </w:pPr>
    </w:lvl>
    <w:lvl w:ilvl="6" w:tplc="9C46BC2C" w:tentative="1">
      <w:start w:val="1"/>
      <w:numFmt w:val="decimal"/>
      <w:lvlText w:val="%7."/>
      <w:lvlJc w:val="left"/>
      <w:pPr>
        <w:tabs>
          <w:tab w:val="num" w:pos="5040"/>
        </w:tabs>
        <w:ind w:left="5040" w:hanging="360"/>
      </w:pPr>
    </w:lvl>
    <w:lvl w:ilvl="7" w:tplc="5EAEAFEC" w:tentative="1">
      <w:start w:val="1"/>
      <w:numFmt w:val="decimal"/>
      <w:lvlText w:val="%8."/>
      <w:lvlJc w:val="left"/>
      <w:pPr>
        <w:tabs>
          <w:tab w:val="num" w:pos="5760"/>
        </w:tabs>
        <w:ind w:left="5760" w:hanging="360"/>
      </w:pPr>
    </w:lvl>
    <w:lvl w:ilvl="8" w:tplc="A6FC9DDC" w:tentative="1">
      <w:start w:val="1"/>
      <w:numFmt w:val="decimal"/>
      <w:lvlText w:val="%9."/>
      <w:lvlJc w:val="left"/>
      <w:pPr>
        <w:tabs>
          <w:tab w:val="num" w:pos="6480"/>
        </w:tabs>
        <w:ind w:left="6480" w:hanging="360"/>
      </w:pPr>
    </w:lvl>
  </w:abstractNum>
  <w:abstractNum w:abstractNumId="3">
    <w:nsid w:val="63935003"/>
    <w:multiLevelType w:val="multilevel"/>
    <w:tmpl w:val="90FE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E0F1B"/>
    <w:multiLevelType w:val="hybridMultilevel"/>
    <w:tmpl w:val="5DF8553C"/>
    <w:lvl w:ilvl="0" w:tplc="AC1AE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AB60C4"/>
    <w:multiLevelType w:val="hybridMultilevel"/>
    <w:tmpl w:val="F4668D4E"/>
    <w:lvl w:ilvl="0" w:tplc="5BAE814C">
      <w:start w:val="3"/>
      <w:numFmt w:val="upperRoman"/>
      <w:lvlText w:val="%1."/>
      <w:lvlJc w:val="right"/>
      <w:pPr>
        <w:tabs>
          <w:tab w:val="num" w:pos="720"/>
        </w:tabs>
        <w:ind w:left="720" w:hanging="360"/>
      </w:pPr>
    </w:lvl>
    <w:lvl w:ilvl="1" w:tplc="C6902184" w:tentative="1">
      <w:start w:val="1"/>
      <w:numFmt w:val="decimal"/>
      <w:lvlText w:val="%2."/>
      <w:lvlJc w:val="left"/>
      <w:pPr>
        <w:tabs>
          <w:tab w:val="num" w:pos="1440"/>
        </w:tabs>
        <w:ind w:left="1440" w:hanging="360"/>
      </w:pPr>
    </w:lvl>
    <w:lvl w:ilvl="2" w:tplc="4F782010" w:tentative="1">
      <w:start w:val="1"/>
      <w:numFmt w:val="decimal"/>
      <w:lvlText w:val="%3."/>
      <w:lvlJc w:val="left"/>
      <w:pPr>
        <w:tabs>
          <w:tab w:val="num" w:pos="2160"/>
        </w:tabs>
        <w:ind w:left="2160" w:hanging="360"/>
      </w:pPr>
    </w:lvl>
    <w:lvl w:ilvl="3" w:tplc="80CC8968" w:tentative="1">
      <w:start w:val="1"/>
      <w:numFmt w:val="decimal"/>
      <w:lvlText w:val="%4."/>
      <w:lvlJc w:val="left"/>
      <w:pPr>
        <w:tabs>
          <w:tab w:val="num" w:pos="2880"/>
        </w:tabs>
        <w:ind w:left="2880" w:hanging="360"/>
      </w:pPr>
    </w:lvl>
    <w:lvl w:ilvl="4" w:tplc="CDE8CE38" w:tentative="1">
      <w:start w:val="1"/>
      <w:numFmt w:val="decimal"/>
      <w:lvlText w:val="%5."/>
      <w:lvlJc w:val="left"/>
      <w:pPr>
        <w:tabs>
          <w:tab w:val="num" w:pos="3600"/>
        </w:tabs>
        <w:ind w:left="3600" w:hanging="360"/>
      </w:pPr>
    </w:lvl>
    <w:lvl w:ilvl="5" w:tplc="D5B4F52C" w:tentative="1">
      <w:start w:val="1"/>
      <w:numFmt w:val="decimal"/>
      <w:lvlText w:val="%6."/>
      <w:lvlJc w:val="left"/>
      <w:pPr>
        <w:tabs>
          <w:tab w:val="num" w:pos="4320"/>
        </w:tabs>
        <w:ind w:left="4320" w:hanging="360"/>
      </w:pPr>
    </w:lvl>
    <w:lvl w:ilvl="6" w:tplc="19B48A1E" w:tentative="1">
      <w:start w:val="1"/>
      <w:numFmt w:val="decimal"/>
      <w:lvlText w:val="%7."/>
      <w:lvlJc w:val="left"/>
      <w:pPr>
        <w:tabs>
          <w:tab w:val="num" w:pos="5040"/>
        </w:tabs>
        <w:ind w:left="5040" w:hanging="360"/>
      </w:pPr>
    </w:lvl>
    <w:lvl w:ilvl="7" w:tplc="28C09376" w:tentative="1">
      <w:start w:val="1"/>
      <w:numFmt w:val="decimal"/>
      <w:lvlText w:val="%8."/>
      <w:lvlJc w:val="left"/>
      <w:pPr>
        <w:tabs>
          <w:tab w:val="num" w:pos="5760"/>
        </w:tabs>
        <w:ind w:left="5760" w:hanging="360"/>
      </w:pPr>
    </w:lvl>
    <w:lvl w:ilvl="8" w:tplc="C488472C" w:tentative="1">
      <w:start w:val="1"/>
      <w:numFmt w:val="decimal"/>
      <w:lvlText w:val="%9."/>
      <w:lvlJc w:val="left"/>
      <w:pPr>
        <w:tabs>
          <w:tab w:val="num" w:pos="6480"/>
        </w:tabs>
        <w:ind w:left="6480" w:hanging="360"/>
      </w:pPr>
    </w:lvl>
  </w:abstractNum>
  <w:abstractNum w:abstractNumId="6">
    <w:nsid w:val="78814F12"/>
    <w:multiLevelType w:val="multilevel"/>
    <w:tmpl w:val="35BE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Roman"/>
        <w:lvlText w:val="%1."/>
        <w:lvlJc w:val="right"/>
      </w:lvl>
    </w:lvlOverride>
  </w:num>
  <w:num w:numId="2">
    <w:abstractNumId w:val="2"/>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37"/>
    <w:rsid w:val="00070546"/>
    <w:rsid w:val="00096E38"/>
    <w:rsid w:val="003E71FE"/>
    <w:rsid w:val="005E1880"/>
    <w:rsid w:val="00877F7F"/>
    <w:rsid w:val="00BD1431"/>
    <w:rsid w:val="00C77619"/>
    <w:rsid w:val="00DB2CCB"/>
    <w:rsid w:val="00EB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737"/>
    <w:rPr>
      <w:color w:val="0000FF"/>
      <w:u w:val="single"/>
    </w:rPr>
  </w:style>
  <w:style w:type="paragraph" w:styleId="ListParagraph">
    <w:name w:val="List Paragraph"/>
    <w:basedOn w:val="Normal"/>
    <w:uiPriority w:val="34"/>
    <w:qFormat/>
    <w:rsid w:val="00EB3737"/>
    <w:pPr>
      <w:ind w:left="720"/>
      <w:contextualSpacing/>
    </w:pPr>
  </w:style>
  <w:style w:type="paragraph" w:styleId="BalloonText">
    <w:name w:val="Balloon Text"/>
    <w:basedOn w:val="Normal"/>
    <w:link w:val="BalloonTextChar"/>
    <w:uiPriority w:val="99"/>
    <w:semiHidden/>
    <w:unhideWhenUsed/>
    <w:rsid w:val="00BD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431"/>
    <w:rPr>
      <w:rFonts w:ascii="Tahoma" w:hAnsi="Tahoma" w:cs="Tahoma"/>
      <w:sz w:val="16"/>
      <w:szCs w:val="16"/>
    </w:rPr>
  </w:style>
  <w:style w:type="paragraph" w:styleId="NoSpacing">
    <w:name w:val="No Spacing"/>
    <w:uiPriority w:val="1"/>
    <w:qFormat/>
    <w:rsid w:val="000705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7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737"/>
    <w:rPr>
      <w:color w:val="0000FF"/>
      <w:u w:val="single"/>
    </w:rPr>
  </w:style>
  <w:style w:type="paragraph" w:styleId="ListParagraph">
    <w:name w:val="List Paragraph"/>
    <w:basedOn w:val="Normal"/>
    <w:uiPriority w:val="34"/>
    <w:qFormat/>
    <w:rsid w:val="00EB3737"/>
    <w:pPr>
      <w:ind w:left="720"/>
      <w:contextualSpacing/>
    </w:pPr>
  </w:style>
  <w:style w:type="paragraph" w:styleId="BalloonText">
    <w:name w:val="Balloon Text"/>
    <w:basedOn w:val="Normal"/>
    <w:link w:val="BalloonTextChar"/>
    <w:uiPriority w:val="99"/>
    <w:semiHidden/>
    <w:unhideWhenUsed/>
    <w:rsid w:val="00BD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431"/>
    <w:rPr>
      <w:rFonts w:ascii="Tahoma" w:hAnsi="Tahoma" w:cs="Tahoma"/>
      <w:sz w:val="16"/>
      <w:szCs w:val="16"/>
    </w:rPr>
  </w:style>
  <w:style w:type="paragraph" w:styleId="NoSpacing">
    <w:name w:val="No Spacing"/>
    <w:uiPriority w:val="1"/>
    <w:qFormat/>
    <w:rsid w:val="000705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31">
      <w:bodyDiv w:val="1"/>
      <w:marLeft w:val="0"/>
      <w:marRight w:val="0"/>
      <w:marTop w:val="0"/>
      <w:marBottom w:val="0"/>
      <w:divBdr>
        <w:top w:val="none" w:sz="0" w:space="0" w:color="auto"/>
        <w:left w:val="none" w:sz="0" w:space="0" w:color="auto"/>
        <w:bottom w:val="none" w:sz="0" w:space="0" w:color="auto"/>
        <w:right w:val="none" w:sz="0" w:space="0" w:color="auto"/>
      </w:divBdr>
    </w:div>
    <w:div w:id="243533405">
      <w:bodyDiv w:val="1"/>
      <w:marLeft w:val="0"/>
      <w:marRight w:val="0"/>
      <w:marTop w:val="0"/>
      <w:marBottom w:val="0"/>
      <w:divBdr>
        <w:top w:val="none" w:sz="0" w:space="0" w:color="auto"/>
        <w:left w:val="none" w:sz="0" w:space="0" w:color="auto"/>
        <w:bottom w:val="none" w:sz="0" w:space="0" w:color="auto"/>
        <w:right w:val="none" w:sz="0" w:space="0" w:color="auto"/>
      </w:divBdr>
    </w:div>
    <w:div w:id="913970716">
      <w:bodyDiv w:val="1"/>
      <w:marLeft w:val="0"/>
      <w:marRight w:val="0"/>
      <w:marTop w:val="0"/>
      <w:marBottom w:val="0"/>
      <w:divBdr>
        <w:top w:val="none" w:sz="0" w:space="0" w:color="auto"/>
        <w:left w:val="none" w:sz="0" w:space="0" w:color="auto"/>
        <w:bottom w:val="none" w:sz="0" w:space="0" w:color="auto"/>
        <w:right w:val="none" w:sz="0" w:space="0" w:color="auto"/>
      </w:divBdr>
    </w:div>
    <w:div w:id="1528904913">
      <w:bodyDiv w:val="1"/>
      <w:marLeft w:val="0"/>
      <w:marRight w:val="0"/>
      <w:marTop w:val="0"/>
      <w:marBottom w:val="0"/>
      <w:divBdr>
        <w:top w:val="none" w:sz="0" w:space="0" w:color="auto"/>
        <w:left w:val="none" w:sz="0" w:space="0" w:color="auto"/>
        <w:bottom w:val="none" w:sz="0" w:space="0" w:color="auto"/>
        <w:right w:val="none" w:sz="0" w:space="0" w:color="auto"/>
      </w:divBdr>
      <w:divsChild>
        <w:div w:id="1852720423">
          <w:marLeft w:val="0"/>
          <w:marRight w:val="0"/>
          <w:marTop w:val="0"/>
          <w:marBottom w:val="0"/>
          <w:divBdr>
            <w:top w:val="none" w:sz="0" w:space="0" w:color="auto"/>
            <w:left w:val="none" w:sz="0" w:space="0" w:color="auto"/>
            <w:bottom w:val="none" w:sz="0" w:space="0" w:color="auto"/>
            <w:right w:val="none" w:sz="0" w:space="0" w:color="auto"/>
          </w:divBdr>
        </w:div>
      </w:divsChild>
    </w:div>
    <w:div w:id="16369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dkpos.com/hardware-pricing/" TargetMode="External"/><Relationship Id="rId3" Type="http://schemas.microsoft.com/office/2007/relationships/stylesWithEffects" Target="stylesWithEffects.xml"/><Relationship Id="rId7" Type="http://schemas.openxmlformats.org/officeDocument/2006/relationships/hyperlink" Target="http://www.kandkpos.com/hardware-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snation.com/shop_pos/complete_pos_systems?product_id=9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Naga City, Philippines</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 Dy</dc:creator>
  <cp:keywords/>
  <dc:description/>
  <cp:lastModifiedBy>Timothy Allen Dy</cp:lastModifiedBy>
  <cp:revision>4</cp:revision>
  <dcterms:created xsi:type="dcterms:W3CDTF">2013-11-13T19:18:00Z</dcterms:created>
  <dcterms:modified xsi:type="dcterms:W3CDTF">2013-11-14T01:24:00Z</dcterms:modified>
</cp:coreProperties>
</file>