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DD2" w:rsidRPr="0082313A" w:rsidRDefault="00EB0A4B" w:rsidP="0082313A">
      <w:pPr>
        <w:tabs>
          <w:tab w:val="right" w:pos="9000"/>
        </w:tabs>
        <w:spacing w:line="240" w:lineRule="auto"/>
        <w:rPr>
          <w:rFonts w:ascii="Arial" w:hAnsi="Arial" w:cs="Arial"/>
          <w:sz w:val="24"/>
          <w:szCs w:val="24"/>
        </w:rPr>
      </w:pPr>
      <w:bookmarkStart w:id="0" w:name="_GoBack"/>
      <w:bookmarkEnd w:id="0"/>
      <w:r w:rsidRPr="0082313A">
        <w:rPr>
          <w:rFonts w:ascii="Arial" w:hAnsi="Arial" w:cs="Arial"/>
          <w:sz w:val="24"/>
          <w:szCs w:val="24"/>
        </w:rPr>
        <w:t>Raymond JNC Cruz</w:t>
      </w:r>
      <w:r w:rsidRPr="0082313A">
        <w:rPr>
          <w:rFonts w:ascii="Arial" w:hAnsi="Arial" w:cs="Arial"/>
          <w:sz w:val="24"/>
          <w:szCs w:val="24"/>
        </w:rPr>
        <w:tab/>
      </w:r>
      <w:r w:rsidR="00597AC3">
        <w:rPr>
          <w:rFonts w:ascii="Arial" w:hAnsi="Arial" w:cs="Arial"/>
          <w:sz w:val="24"/>
          <w:szCs w:val="24"/>
        </w:rPr>
        <w:t>2</w:t>
      </w:r>
      <w:r w:rsidRPr="0082313A">
        <w:rPr>
          <w:rFonts w:ascii="Arial" w:hAnsi="Arial" w:cs="Arial"/>
          <w:sz w:val="24"/>
          <w:szCs w:val="24"/>
        </w:rPr>
        <w:t>/</w:t>
      </w:r>
      <w:r w:rsidR="00597AC3">
        <w:rPr>
          <w:rFonts w:ascii="Arial" w:hAnsi="Arial" w:cs="Arial"/>
          <w:sz w:val="24"/>
          <w:szCs w:val="24"/>
        </w:rPr>
        <w:t>27</w:t>
      </w:r>
      <w:r w:rsidRPr="0082313A">
        <w:rPr>
          <w:rFonts w:ascii="Arial" w:hAnsi="Arial" w:cs="Arial"/>
          <w:sz w:val="24"/>
          <w:szCs w:val="24"/>
        </w:rPr>
        <w:t>/2014</w:t>
      </w:r>
    </w:p>
    <w:p w:rsidR="00EB0A4B" w:rsidRPr="0082313A" w:rsidRDefault="00EB0A4B" w:rsidP="0082313A">
      <w:pPr>
        <w:tabs>
          <w:tab w:val="right" w:pos="9000"/>
        </w:tabs>
        <w:spacing w:line="240" w:lineRule="auto"/>
        <w:rPr>
          <w:rFonts w:ascii="Arial" w:hAnsi="Arial" w:cs="Arial"/>
          <w:sz w:val="24"/>
          <w:szCs w:val="24"/>
        </w:rPr>
      </w:pPr>
      <w:r w:rsidRPr="0082313A">
        <w:rPr>
          <w:rFonts w:ascii="Arial" w:hAnsi="Arial" w:cs="Arial"/>
          <w:sz w:val="24"/>
          <w:szCs w:val="24"/>
        </w:rPr>
        <w:t>POS100 – A</w:t>
      </w:r>
      <w:r w:rsidRPr="0082313A">
        <w:rPr>
          <w:rFonts w:ascii="Arial" w:hAnsi="Arial" w:cs="Arial"/>
          <w:sz w:val="24"/>
          <w:szCs w:val="24"/>
        </w:rPr>
        <w:tab/>
        <w:t>Long Test 3</w:t>
      </w:r>
    </w:p>
    <w:p w:rsidR="00EB0A4B" w:rsidRPr="0082313A" w:rsidRDefault="003B2D7A" w:rsidP="0082313A">
      <w:pPr>
        <w:spacing w:line="240" w:lineRule="auto"/>
        <w:jc w:val="center"/>
        <w:rPr>
          <w:rFonts w:ascii="Arial" w:hAnsi="Arial" w:cs="Arial"/>
          <w:sz w:val="24"/>
          <w:szCs w:val="24"/>
        </w:rPr>
      </w:pPr>
      <w:r>
        <w:rPr>
          <w:rFonts w:ascii="Arial" w:hAnsi="Arial" w:cs="Arial"/>
          <w:sz w:val="24"/>
          <w:szCs w:val="24"/>
        </w:rPr>
        <w:t>Constitutional Provision and Application of t</w:t>
      </w:r>
      <w:r w:rsidR="009806F3" w:rsidRPr="0082313A">
        <w:rPr>
          <w:rFonts w:ascii="Arial" w:hAnsi="Arial" w:cs="Arial"/>
          <w:sz w:val="24"/>
          <w:szCs w:val="24"/>
        </w:rPr>
        <w:t xml:space="preserve">he Philippine </w:t>
      </w:r>
      <w:r w:rsidR="00EB0A4B" w:rsidRPr="0082313A">
        <w:rPr>
          <w:rFonts w:ascii="Arial" w:hAnsi="Arial" w:cs="Arial"/>
          <w:sz w:val="24"/>
          <w:szCs w:val="24"/>
        </w:rPr>
        <w:t>Bill of Rights</w:t>
      </w:r>
    </w:p>
    <w:p w:rsidR="0077520F" w:rsidRDefault="009806F3" w:rsidP="0082313A">
      <w:pPr>
        <w:spacing w:line="240" w:lineRule="auto"/>
        <w:jc w:val="both"/>
        <w:rPr>
          <w:rFonts w:ascii="Arial" w:hAnsi="Arial" w:cs="Arial"/>
          <w:sz w:val="24"/>
          <w:szCs w:val="24"/>
        </w:rPr>
      </w:pPr>
      <w:r w:rsidRPr="0082313A">
        <w:rPr>
          <w:rFonts w:ascii="Arial" w:hAnsi="Arial" w:cs="Arial"/>
          <w:sz w:val="24"/>
          <w:szCs w:val="24"/>
        </w:rPr>
        <w:tab/>
        <w:t>The Philippine Bill of Rights</w:t>
      </w:r>
      <w:r w:rsidR="008E531E">
        <w:rPr>
          <w:rStyle w:val="FootnoteReference"/>
          <w:rFonts w:ascii="Arial" w:hAnsi="Arial" w:cs="Arial"/>
          <w:sz w:val="24"/>
          <w:szCs w:val="24"/>
        </w:rPr>
        <w:footnoteReference w:id="1"/>
      </w:r>
      <w:r w:rsidRPr="0082313A">
        <w:rPr>
          <w:rFonts w:ascii="Arial" w:hAnsi="Arial" w:cs="Arial"/>
          <w:sz w:val="24"/>
          <w:szCs w:val="24"/>
        </w:rPr>
        <w:t xml:space="preserve"> is located in Article III in the </w:t>
      </w:r>
      <w:r w:rsidRPr="0082313A">
        <w:rPr>
          <w:rFonts w:ascii="Arial" w:hAnsi="Arial" w:cs="Arial"/>
          <w:sz w:val="24"/>
          <w:szCs w:val="24"/>
        </w:rPr>
        <w:t>1987 Constitution of the Republic of the Ph</w:t>
      </w:r>
      <w:r w:rsidRPr="0082313A">
        <w:rPr>
          <w:rFonts w:ascii="Arial" w:hAnsi="Arial" w:cs="Arial"/>
          <w:sz w:val="24"/>
          <w:szCs w:val="24"/>
        </w:rPr>
        <w:t>ilippines.</w:t>
      </w:r>
      <w:r w:rsidR="00624510" w:rsidRPr="0082313A">
        <w:rPr>
          <w:rFonts w:ascii="Arial" w:hAnsi="Arial" w:cs="Arial"/>
          <w:sz w:val="24"/>
          <w:szCs w:val="24"/>
        </w:rPr>
        <w:t xml:space="preserve"> It is composed of 22 sections that </w:t>
      </w:r>
      <w:r w:rsidR="0082313A">
        <w:rPr>
          <w:rFonts w:ascii="Arial" w:hAnsi="Arial" w:cs="Arial"/>
          <w:sz w:val="24"/>
          <w:szCs w:val="24"/>
        </w:rPr>
        <w:t>provide</w:t>
      </w:r>
      <w:r w:rsidR="00624510" w:rsidRPr="0082313A">
        <w:rPr>
          <w:rFonts w:ascii="Arial" w:hAnsi="Arial" w:cs="Arial"/>
          <w:sz w:val="24"/>
          <w:szCs w:val="24"/>
        </w:rPr>
        <w:t xml:space="preserve"> </w:t>
      </w:r>
      <w:r w:rsidR="00040DCA" w:rsidRPr="0082313A">
        <w:rPr>
          <w:rFonts w:ascii="Arial" w:hAnsi="Arial" w:cs="Arial"/>
          <w:sz w:val="24"/>
          <w:szCs w:val="24"/>
        </w:rPr>
        <w:t xml:space="preserve">and protect </w:t>
      </w:r>
      <w:r w:rsidR="00624510" w:rsidRPr="0082313A">
        <w:rPr>
          <w:rFonts w:ascii="Arial" w:hAnsi="Arial" w:cs="Arial"/>
          <w:sz w:val="24"/>
          <w:szCs w:val="24"/>
        </w:rPr>
        <w:t xml:space="preserve">a </w:t>
      </w:r>
      <w:r w:rsidR="00A27143" w:rsidRPr="0082313A">
        <w:rPr>
          <w:rFonts w:ascii="Arial" w:hAnsi="Arial" w:cs="Arial"/>
          <w:sz w:val="24"/>
          <w:szCs w:val="24"/>
        </w:rPr>
        <w:t>person</w:t>
      </w:r>
      <w:r w:rsidR="00624510" w:rsidRPr="0082313A">
        <w:rPr>
          <w:rFonts w:ascii="Arial" w:hAnsi="Arial" w:cs="Arial"/>
          <w:sz w:val="24"/>
          <w:szCs w:val="24"/>
        </w:rPr>
        <w:t>’s rights.</w:t>
      </w:r>
      <w:r w:rsidR="00594BC0" w:rsidRPr="0082313A">
        <w:rPr>
          <w:rFonts w:ascii="Arial" w:hAnsi="Arial" w:cs="Arial"/>
          <w:sz w:val="24"/>
          <w:szCs w:val="24"/>
        </w:rPr>
        <w:t xml:space="preserve"> The constitutional provisions of the Bill of Rights are effective in such a way that a </w:t>
      </w:r>
      <w:r w:rsidR="00A27143" w:rsidRPr="0082313A">
        <w:rPr>
          <w:rFonts w:ascii="Arial" w:hAnsi="Arial" w:cs="Arial"/>
          <w:sz w:val="24"/>
          <w:szCs w:val="24"/>
        </w:rPr>
        <w:t>person</w:t>
      </w:r>
      <w:r w:rsidR="00594BC0" w:rsidRPr="0082313A">
        <w:rPr>
          <w:rFonts w:ascii="Arial" w:hAnsi="Arial" w:cs="Arial"/>
          <w:sz w:val="24"/>
          <w:szCs w:val="24"/>
        </w:rPr>
        <w:t xml:space="preserve"> reserves his or her rights upon any intrusive action by the government, law enforcement agencies,</w:t>
      </w:r>
      <w:r w:rsidR="00A27143" w:rsidRPr="0082313A">
        <w:rPr>
          <w:rFonts w:ascii="Arial" w:hAnsi="Arial" w:cs="Arial"/>
          <w:sz w:val="24"/>
          <w:szCs w:val="24"/>
        </w:rPr>
        <w:t xml:space="preserve"> or</w:t>
      </w:r>
      <w:r w:rsidR="00594BC0" w:rsidRPr="0082313A">
        <w:rPr>
          <w:rFonts w:ascii="Arial" w:hAnsi="Arial" w:cs="Arial"/>
          <w:sz w:val="24"/>
          <w:szCs w:val="24"/>
        </w:rPr>
        <w:t xml:space="preserve"> any </w:t>
      </w:r>
      <w:r w:rsidR="00A27143" w:rsidRPr="0082313A">
        <w:rPr>
          <w:rFonts w:ascii="Arial" w:hAnsi="Arial" w:cs="Arial"/>
          <w:sz w:val="24"/>
          <w:szCs w:val="24"/>
        </w:rPr>
        <w:t>other party</w:t>
      </w:r>
      <w:r w:rsidR="00594BC0" w:rsidRPr="0082313A">
        <w:rPr>
          <w:rFonts w:ascii="Arial" w:hAnsi="Arial" w:cs="Arial"/>
          <w:sz w:val="24"/>
          <w:szCs w:val="24"/>
        </w:rPr>
        <w:t>.</w:t>
      </w:r>
    </w:p>
    <w:p w:rsidR="008A095F" w:rsidRDefault="005A7564" w:rsidP="0077520F">
      <w:pPr>
        <w:spacing w:line="240" w:lineRule="auto"/>
        <w:ind w:firstLine="720"/>
        <w:jc w:val="both"/>
        <w:rPr>
          <w:rFonts w:ascii="Arial" w:hAnsi="Arial" w:cs="Arial"/>
          <w:sz w:val="24"/>
          <w:szCs w:val="24"/>
        </w:rPr>
      </w:pPr>
      <w:r>
        <w:rPr>
          <w:rFonts w:ascii="Arial" w:hAnsi="Arial" w:cs="Arial"/>
          <w:sz w:val="24"/>
          <w:szCs w:val="24"/>
        </w:rPr>
        <w:t>Section 1 is the most basic right</w:t>
      </w:r>
      <w:r w:rsidR="0001500C">
        <w:rPr>
          <w:rFonts w:ascii="Arial" w:hAnsi="Arial" w:cs="Arial"/>
          <w:sz w:val="24"/>
          <w:szCs w:val="24"/>
        </w:rPr>
        <w:t>, the right to life, liberty, and property.</w:t>
      </w:r>
      <w:r w:rsidR="0077520F">
        <w:rPr>
          <w:rFonts w:ascii="Arial" w:hAnsi="Arial" w:cs="Arial"/>
          <w:sz w:val="24"/>
          <w:szCs w:val="24"/>
        </w:rPr>
        <w:t xml:space="preserve"> </w:t>
      </w:r>
      <w:r w:rsidR="00690579">
        <w:rPr>
          <w:rFonts w:ascii="Arial" w:hAnsi="Arial" w:cs="Arial"/>
          <w:sz w:val="24"/>
          <w:szCs w:val="24"/>
        </w:rPr>
        <w:t>This basic right is what keeps the people humane.</w:t>
      </w:r>
      <w:r w:rsidR="00A63BCB">
        <w:rPr>
          <w:rFonts w:ascii="Arial" w:hAnsi="Arial" w:cs="Arial"/>
          <w:sz w:val="24"/>
          <w:szCs w:val="24"/>
        </w:rPr>
        <w:t xml:space="preserve"> Without this provision, it is perfectly legal to kill, or deprive a citizen of all freedom and belongings.</w:t>
      </w:r>
    </w:p>
    <w:p w:rsidR="0088654F" w:rsidRDefault="0088654F" w:rsidP="0077520F">
      <w:pPr>
        <w:spacing w:line="240" w:lineRule="auto"/>
        <w:ind w:firstLine="720"/>
        <w:jc w:val="both"/>
        <w:rPr>
          <w:rFonts w:ascii="Arial" w:hAnsi="Arial" w:cs="Arial"/>
          <w:sz w:val="24"/>
          <w:szCs w:val="24"/>
        </w:rPr>
      </w:pPr>
      <w:r>
        <w:rPr>
          <w:rFonts w:ascii="Arial" w:hAnsi="Arial" w:cs="Arial"/>
          <w:sz w:val="24"/>
          <w:szCs w:val="24"/>
        </w:rPr>
        <w:t>Sections 2 and 3 provide a citizen’s right to privacy.</w:t>
      </w:r>
      <w:r w:rsidR="00EC0556">
        <w:rPr>
          <w:rFonts w:ascii="Arial" w:hAnsi="Arial" w:cs="Arial"/>
          <w:sz w:val="24"/>
          <w:szCs w:val="24"/>
        </w:rPr>
        <w:t xml:space="preserve"> Section 2 states that a legitimate warrant must be issued and presented first to the citizen before any search or arrest is to be made. Section 3 pertains to citizens’ privacy of communication. </w:t>
      </w:r>
      <w:r w:rsidR="00677EC8">
        <w:rPr>
          <w:rFonts w:ascii="Arial" w:hAnsi="Arial" w:cs="Arial"/>
          <w:sz w:val="24"/>
          <w:szCs w:val="24"/>
        </w:rPr>
        <w:t>The second paragraph of this section states that a</w:t>
      </w:r>
      <w:r w:rsidR="00EC0556">
        <w:rPr>
          <w:rFonts w:ascii="Arial" w:hAnsi="Arial" w:cs="Arial"/>
          <w:sz w:val="24"/>
          <w:szCs w:val="24"/>
        </w:rPr>
        <w:t xml:space="preserve">ny evidence used against a citizen which is gained through the violation of this section </w:t>
      </w:r>
      <w:r w:rsidR="00333F23">
        <w:rPr>
          <w:rFonts w:ascii="Arial" w:hAnsi="Arial" w:cs="Arial"/>
          <w:sz w:val="24"/>
          <w:szCs w:val="24"/>
        </w:rPr>
        <w:t xml:space="preserve">is invalid and </w:t>
      </w:r>
      <w:r w:rsidR="00EC0556">
        <w:rPr>
          <w:rFonts w:ascii="Arial" w:hAnsi="Arial" w:cs="Arial"/>
          <w:sz w:val="24"/>
          <w:szCs w:val="24"/>
        </w:rPr>
        <w:t>will be dismissed in any proceeding.</w:t>
      </w:r>
      <w:r w:rsidR="00677EC8">
        <w:rPr>
          <w:rFonts w:ascii="Arial" w:hAnsi="Arial" w:cs="Arial"/>
          <w:sz w:val="24"/>
          <w:szCs w:val="24"/>
        </w:rPr>
        <w:t xml:space="preserve"> One supposed violation of this provision is of the procurement of the wiretapped telephone conversation between then-president Gloria </w:t>
      </w:r>
      <w:proofErr w:type="spellStart"/>
      <w:r w:rsidR="00677EC8">
        <w:rPr>
          <w:rFonts w:ascii="Arial" w:hAnsi="Arial" w:cs="Arial"/>
          <w:sz w:val="24"/>
          <w:szCs w:val="24"/>
        </w:rPr>
        <w:t>Macapagal</w:t>
      </w:r>
      <w:proofErr w:type="spellEnd"/>
      <w:r w:rsidR="00677EC8">
        <w:rPr>
          <w:rFonts w:ascii="Arial" w:hAnsi="Arial" w:cs="Arial"/>
          <w:sz w:val="24"/>
          <w:szCs w:val="24"/>
        </w:rPr>
        <w:t xml:space="preserve"> Arroyo and Election Commissioner </w:t>
      </w:r>
      <w:proofErr w:type="spellStart"/>
      <w:r w:rsidR="00677EC8">
        <w:rPr>
          <w:rFonts w:ascii="Arial" w:hAnsi="Arial" w:cs="Arial"/>
          <w:sz w:val="24"/>
          <w:szCs w:val="24"/>
        </w:rPr>
        <w:t>Virgi</w:t>
      </w:r>
      <w:r w:rsidR="00D80066">
        <w:rPr>
          <w:rFonts w:ascii="Arial" w:hAnsi="Arial" w:cs="Arial"/>
          <w:sz w:val="24"/>
          <w:szCs w:val="24"/>
        </w:rPr>
        <w:t>lio</w:t>
      </w:r>
      <w:proofErr w:type="spellEnd"/>
      <w:r w:rsidR="00D80066">
        <w:rPr>
          <w:rFonts w:ascii="Arial" w:hAnsi="Arial" w:cs="Arial"/>
          <w:sz w:val="24"/>
          <w:szCs w:val="24"/>
        </w:rPr>
        <w:t xml:space="preserve"> </w:t>
      </w:r>
      <w:proofErr w:type="spellStart"/>
      <w:r w:rsidR="00D80066">
        <w:rPr>
          <w:rFonts w:ascii="Arial" w:hAnsi="Arial" w:cs="Arial"/>
          <w:sz w:val="24"/>
          <w:szCs w:val="24"/>
        </w:rPr>
        <w:t>Garcil</w:t>
      </w:r>
      <w:r w:rsidR="00677EC8">
        <w:rPr>
          <w:rFonts w:ascii="Arial" w:hAnsi="Arial" w:cs="Arial"/>
          <w:sz w:val="24"/>
          <w:szCs w:val="24"/>
        </w:rPr>
        <w:t>iano</w:t>
      </w:r>
      <w:proofErr w:type="spellEnd"/>
      <w:r w:rsidR="00677EC8">
        <w:rPr>
          <w:rFonts w:ascii="Arial" w:hAnsi="Arial" w:cs="Arial"/>
          <w:sz w:val="24"/>
          <w:szCs w:val="24"/>
        </w:rPr>
        <w:t xml:space="preserve"> during the </w:t>
      </w:r>
      <w:r w:rsidR="00CE335F">
        <w:rPr>
          <w:rFonts w:ascii="Arial" w:hAnsi="Arial" w:cs="Arial"/>
          <w:sz w:val="24"/>
          <w:szCs w:val="24"/>
        </w:rPr>
        <w:t xml:space="preserve">investigation </w:t>
      </w:r>
      <w:r w:rsidR="00677EC8">
        <w:rPr>
          <w:rFonts w:ascii="Arial" w:hAnsi="Arial" w:cs="Arial"/>
          <w:sz w:val="24"/>
          <w:szCs w:val="24"/>
        </w:rPr>
        <w:t>concerning</w:t>
      </w:r>
      <w:r w:rsidR="00D80066">
        <w:rPr>
          <w:rFonts w:ascii="Arial" w:hAnsi="Arial" w:cs="Arial"/>
          <w:sz w:val="24"/>
          <w:szCs w:val="24"/>
        </w:rPr>
        <w:t xml:space="preserve"> the “Hello </w:t>
      </w:r>
      <w:proofErr w:type="spellStart"/>
      <w:r w:rsidR="00D80066">
        <w:rPr>
          <w:rFonts w:ascii="Arial" w:hAnsi="Arial" w:cs="Arial"/>
          <w:sz w:val="24"/>
          <w:szCs w:val="24"/>
        </w:rPr>
        <w:t>Garci</w:t>
      </w:r>
      <w:proofErr w:type="spellEnd"/>
      <w:r w:rsidR="00D80066">
        <w:rPr>
          <w:rFonts w:ascii="Arial" w:hAnsi="Arial" w:cs="Arial"/>
          <w:sz w:val="24"/>
          <w:szCs w:val="24"/>
        </w:rPr>
        <w:t>” electoral scandal of 2004</w:t>
      </w:r>
      <w:r w:rsidR="00D80066">
        <w:rPr>
          <w:rStyle w:val="FootnoteReference"/>
          <w:rFonts w:ascii="Arial" w:hAnsi="Arial" w:cs="Arial"/>
          <w:sz w:val="24"/>
          <w:szCs w:val="24"/>
        </w:rPr>
        <w:footnoteReference w:id="2"/>
      </w:r>
      <w:r w:rsidR="00D80066">
        <w:rPr>
          <w:rFonts w:ascii="Arial" w:hAnsi="Arial" w:cs="Arial"/>
          <w:sz w:val="24"/>
          <w:szCs w:val="24"/>
        </w:rPr>
        <w:t>.</w:t>
      </w:r>
      <w:r w:rsidR="00CE335F">
        <w:rPr>
          <w:rFonts w:ascii="Arial" w:hAnsi="Arial" w:cs="Arial"/>
          <w:sz w:val="24"/>
          <w:szCs w:val="24"/>
        </w:rPr>
        <w:t xml:space="preserve"> </w:t>
      </w:r>
      <w:r w:rsidR="00FE1C85">
        <w:rPr>
          <w:rFonts w:ascii="Arial" w:hAnsi="Arial" w:cs="Arial"/>
          <w:sz w:val="24"/>
          <w:szCs w:val="24"/>
        </w:rPr>
        <w:t>Technically, no such violation is incurred since no trial was held.</w:t>
      </w:r>
    </w:p>
    <w:p w:rsidR="008B379F" w:rsidRDefault="008B379F" w:rsidP="0077520F">
      <w:pPr>
        <w:spacing w:line="240" w:lineRule="auto"/>
        <w:ind w:firstLine="720"/>
        <w:jc w:val="both"/>
        <w:rPr>
          <w:rFonts w:ascii="Arial" w:hAnsi="Arial" w:cs="Arial"/>
          <w:sz w:val="24"/>
          <w:szCs w:val="24"/>
        </w:rPr>
      </w:pPr>
      <w:r>
        <w:rPr>
          <w:rFonts w:ascii="Arial" w:hAnsi="Arial" w:cs="Arial"/>
          <w:sz w:val="24"/>
          <w:szCs w:val="24"/>
        </w:rPr>
        <w:t xml:space="preserve">Sections 4 to 6 provide a citizen’s personal freedom. Section 4 </w:t>
      </w:r>
      <w:r w:rsidR="004878FF">
        <w:rPr>
          <w:rFonts w:ascii="Arial" w:hAnsi="Arial" w:cs="Arial"/>
          <w:sz w:val="24"/>
          <w:szCs w:val="24"/>
        </w:rPr>
        <w:t xml:space="preserve">provides a citizen freedom of speech, expression, and press, as well as the right of the people to peacefully assemble to petition the government to </w:t>
      </w:r>
      <w:r w:rsidR="00F61565">
        <w:rPr>
          <w:rFonts w:ascii="Arial" w:hAnsi="Arial" w:cs="Arial"/>
          <w:sz w:val="24"/>
          <w:szCs w:val="24"/>
        </w:rPr>
        <w:t xml:space="preserve">address </w:t>
      </w:r>
      <w:r w:rsidR="004878FF">
        <w:rPr>
          <w:rFonts w:ascii="Arial" w:hAnsi="Arial" w:cs="Arial"/>
          <w:sz w:val="24"/>
          <w:szCs w:val="24"/>
        </w:rPr>
        <w:t>grievances.</w:t>
      </w:r>
      <w:r w:rsidR="00A2045B">
        <w:rPr>
          <w:rFonts w:ascii="Arial" w:hAnsi="Arial" w:cs="Arial"/>
          <w:sz w:val="24"/>
          <w:szCs w:val="24"/>
        </w:rPr>
        <w:t xml:space="preserve"> </w:t>
      </w:r>
      <w:r w:rsidR="00533FAD">
        <w:rPr>
          <w:rFonts w:ascii="Arial" w:hAnsi="Arial" w:cs="Arial"/>
          <w:sz w:val="24"/>
          <w:szCs w:val="24"/>
        </w:rPr>
        <w:t xml:space="preserve">Section 5 provides a citizen freedom of religion. </w:t>
      </w:r>
      <w:r w:rsidR="00A2045B">
        <w:rPr>
          <w:rFonts w:ascii="Arial" w:hAnsi="Arial" w:cs="Arial"/>
          <w:sz w:val="24"/>
          <w:szCs w:val="24"/>
        </w:rPr>
        <w:t>Section 6 provides a citizen the right to residence, change of residence, and travel.</w:t>
      </w:r>
    </w:p>
    <w:p w:rsidR="00171BC7" w:rsidRDefault="005A275E" w:rsidP="001557A6">
      <w:pPr>
        <w:spacing w:line="240" w:lineRule="auto"/>
        <w:ind w:firstLine="720"/>
        <w:jc w:val="both"/>
        <w:rPr>
          <w:rFonts w:ascii="Arial" w:hAnsi="Arial" w:cs="Arial"/>
          <w:sz w:val="24"/>
          <w:szCs w:val="24"/>
        </w:rPr>
      </w:pPr>
      <w:r w:rsidRPr="0082313A">
        <w:rPr>
          <w:rFonts w:ascii="Arial" w:hAnsi="Arial" w:cs="Arial"/>
          <w:sz w:val="24"/>
          <w:szCs w:val="24"/>
        </w:rPr>
        <w:t xml:space="preserve">Section 7 </w:t>
      </w:r>
      <w:r w:rsidR="001557A6">
        <w:rPr>
          <w:rFonts w:ascii="Arial" w:hAnsi="Arial" w:cs="Arial"/>
          <w:sz w:val="24"/>
          <w:szCs w:val="24"/>
        </w:rPr>
        <w:t xml:space="preserve">of the Bill of Rights </w:t>
      </w:r>
      <w:r w:rsidRPr="0082313A">
        <w:rPr>
          <w:rFonts w:ascii="Arial" w:hAnsi="Arial" w:cs="Arial"/>
          <w:sz w:val="24"/>
          <w:szCs w:val="24"/>
        </w:rPr>
        <w:t xml:space="preserve">provides </w:t>
      </w:r>
      <w:r w:rsidR="00A27143" w:rsidRPr="0082313A">
        <w:rPr>
          <w:rFonts w:ascii="Arial" w:hAnsi="Arial" w:cs="Arial"/>
          <w:sz w:val="24"/>
          <w:szCs w:val="24"/>
        </w:rPr>
        <w:t xml:space="preserve">the people’s right to </w:t>
      </w:r>
      <w:r w:rsidRPr="0082313A">
        <w:rPr>
          <w:rFonts w:ascii="Arial" w:hAnsi="Arial" w:cs="Arial"/>
          <w:sz w:val="24"/>
          <w:szCs w:val="24"/>
        </w:rPr>
        <w:t>transparency in governance.</w:t>
      </w:r>
      <w:r w:rsidR="008649FB">
        <w:rPr>
          <w:rFonts w:ascii="Arial" w:hAnsi="Arial" w:cs="Arial"/>
          <w:sz w:val="24"/>
          <w:szCs w:val="24"/>
        </w:rPr>
        <w:t xml:space="preserve"> </w:t>
      </w:r>
      <w:r w:rsidR="001A698B">
        <w:rPr>
          <w:rFonts w:ascii="Arial" w:hAnsi="Arial" w:cs="Arial"/>
          <w:sz w:val="24"/>
          <w:szCs w:val="24"/>
        </w:rPr>
        <w:t>In this provision, “access to official records, and to documents and papers</w:t>
      </w:r>
      <w:r w:rsidR="001A698B" w:rsidRPr="001A698B">
        <w:rPr>
          <w:rFonts w:ascii="Arial" w:hAnsi="Arial" w:cs="Arial"/>
          <w:sz w:val="24"/>
          <w:szCs w:val="24"/>
        </w:rPr>
        <w:t xml:space="preserve"> pertaining to official acts, transactions, or decisions, as well as to government research data used as basis for policy development, shall be afforded the citizen, subject to such limitations as may be provided by law.</w:t>
      </w:r>
      <w:r w:rsidR="001A698B">
        <w:rPr>
          <w:rFonts w:ascii="Arial" w:hAnsi="Arial" w:cs="Arial"/>
          <w:sz w:val="24"/>
          <w:szCs w:val="24"/>
        </w:rPr>
        <w:t>”</w:t>
      </w:r>
      <w:r w:rsidR="00BD39AC">
        <w:rPr>
          <w:rFonts w:ascii="Arial" w:hAnsi="Arial" w:cs="Arial"/>
          <w:sz w:val="24"/>
          <w:szCs w:val="24"/>
        </w:rPr>
        <w:t xml:space="preserve"> </w:t>
      </w:r>
      <w:r w:rsidR="00BD39AC">
        <w:rPr>
          <w:rFonts w:ascii="Arial" w:hAnsi="Arial" w:cs="Arial"/>
          <w:sz w:val="24"/>
          <w:szCs w:val="24"/>
        </w:rPr>
        <w:t>This gives the people a viewport through which they can see what the government is currently doing.</w:t>
      </w:r>
      <w:r w:rsidR="0038097B">
        <w:rPr>
          <w:rFonts w:ascii="Arial" w:hAnsi="Arial" w:cs="Arial"/>
          <w:sz w:val="24"/>
          <w:szCs w:val="24"/>
        </w:rPr>
        <w:t xml:space="preserve"> Any issue relating or leading to relative deprivation and/or politicized dissent can be made known to any citizen by scanning any document that a citizen could access through this provision.</w:t>
      </w:r>
    </w:p>
    <w:p w:rsidR="00BD101A" w:rsidRDefault="00BD101A" w:rsidP="001557A6">
      <w:pPr>
        <w:spacing w:line="240" w:lineRule="auto"/>
        <w:ind w:firstLine="720"/>
        <w:jc w:val="both"/>
        <w:rPr>
          <w:rFonts w:ascii="Arial" w:hAnsi="Arial" w:cs="Arial"/>
          <w:sz w:val="24"/>
          <w:szCs w:val="24"/>
        </w:rPr>
      </w:pPr>
      <w:r>
        <w:rPr>
          <w:rFonts w:ascii="Arial" w:hAnsi="Arial" w:cs="Arial"/>
          <w:sz w:val="24"/>
          <w:szCs w:val="24"/>
        </w:rPr>
        <w:t>Sections 8 to 10 pertain to citizen’s labor rights. Section 8 provides citizens the right to form labor unions. Section 9 states that “p</w:t>
      </w:r>
      <w:r w:rsidRPr="00BD101A">
        <w:rPr>
          <w:rFonts w:ascii="Arial" w:hAnsi="Arial" w:cs="Arial"/>
          <w:sz w:val="24"/>
          <w:szCs w:val="24"/>
        </w:rPr>
        <w:t>rivate property shall not be taken for public use without just compensation.</w:t>
      </w:r>
      <w:r>
        <w:rPr>
          <w:rFonts w:ascii="Arial" w:hAnsi="Arial" w:cs="Arial"/>
          <w:sz w:val="24"/>
          <w:szCs w:val="24"/>
        </w:rPr>
        <w:t xml:space="preserve">” </w:t>
      </w:r>
      <w:r w:rsidR="0044090E">
        <w:rPr>
          <w:rFonts w:ascii="Arial" w:hAnsi="Arial" w:cs="Arial"/>
          <w:sz w:val="24"/>
          <w:szCs w:val="24"/>
        </w:rPr>
        <w:t>Section 10 prohibits any law which impedes the obligation of contracts to be passed.</w:t>
      </w:r>
    </w:p>
    <w:p w:rsidR="003E7629" w:rsidRDefault="003E7629" w:rsidP="003E7629">
      <w:pPr>
        <w:spacing w:line="240" w:lineRule="auto"/>
        <w:ind w:firstLine="720"/>
        <w:jc w:val="both"/>
        <w:rPr>
          <w:rFonts w:ascii="Arial" w:hAnsi="Arial" w:cs="Arial"/>
          <w:sz w:val="24"/>
          <w:szCs w:val="24"/>
        </w:rPr>
      </w:pPr>
      <w:r>
        <w:rPr>
          <w:rFonts w:ascii="Arial" w:hAnsi="Arial" w:cs="Arial"/>
          <w:sz w:val="24"/>
          <w:szCs w:val="24"/>
        </w:rPr>
        <w:lastRenderedPageBreak/>
        <w:t>Sections 11 to 22 pertain to the restrictions that the judicial branch of the government has concerning the people. In a nutshell, these provisions limit judicial actions against a person without due process.</w:t>
      </w:r>
    </w:p>
    <w:p w:rsidR="00533FAD" w:rsidRPr="0082313A" w:rsidRDefault="000163D7" w:rsidP="003E7629">
      <w:pPr>
        <w:spacing w:line="240" w:lineRule="auto"/>
        <w:ind w:firstLine="720"/>
        <w:jc w:val="both"/>
        <w:rPr>
          <w:rFonts w:ascii="Arial" w:hAnsi="Arial" w:cs="Arial"/>
          <w:sz w:val="24"/>
          <w:szCs w:val="24"/>
        </w:rPr>
      </w:pPr>
      <w:r>
        <w:rPr>
          <w:rFonts w:ascii="Arial" w:hAnsi="Arial" w:cs="Arial"/>
          <w:sz w:val="24"/>
          <w:szCs w:val="24"/>
        </w:rPr>
        <w:t>T</w:t>
      </w:r>
      <w:r w:rsidR="00533FAD">
        <w:rPr>
          <w:rFonts w:ascii="Arial" w:hAnsi="Arial" w:cs="Arial"/>
          <w:sz w:val="24"/>
          <w:szCs w:val="24"/>
        </w:rPr>
        <w:t>he provi</w:t>
      </w:r>
      <w:r w:rsidR="008E531E">
        <w:rPr>
          <w:rFonts w:ascii="Arial" w:hAnsi="Arial" w:cs="Arial"/>
          <w:sz w:val="24"/>
          <w:szCs w:val="24"/>
        </w:rPr>
        <w:t>sions</w:t>
      </w:r>
      <w:r w:rsidR="00533FAD">
        <w:rPr>
          <w:rFonts w:ascii="Arial" w:hAnsi="Arial" w:cs="Arial"/>
          <w:sz w:val="24"/>
          <w:szCs w:val="24"/>
        </w:rPr>
        <w:t xml:space="preserve"> </w:t>
      </w:r>
      <w:r w:rsidR="008E531E">
        <w:rPr>
          <w:rFonts w:ascii="Arial" w:hAnsi="Arial" w:cs="Arial"/>
          <w:sz w:val="24"/>
          <w:szCs w:val="24"/>
        </w:rPr>
        <w:t>of</w:t>
      </w:r>
      <w:r w:rsidR="00533FAD">
        <w:rPr>
          <w:rFonts w:ascii="Arial" w:hAnsi="Arial" w:cs="Arial"/>
          <w:sz w:val="24"/>
          <w:szCs w:val="24"/>
        </w:rPr>
        <w:t xml:space="preserve"> the Bill of Rights </w:t>
      </w:r>
      <w:r w:rsidR="00E66B2A">
        <w:rPr>
          <w:rFonts w:ascii="Arial" w:hAnsi="Arial" w:cs="Arial"/>
          <w:sz w:val="24"/>
          <w:szCs w:val="24"/>
        </w:rPr>
        <w:t>are protected by the government and law enforcement agencies.</w:t>
      </w:r>
      <w:r>
        <w:rPr>
          <w:rFonts w:ascii="Arial" w:hAnsi="Arial" w:cs="Arial"/>
          <w:sz w:val="24"/>
          <w:szCs w:val="24"/>
        </w:rPr>
        <w:t xml:space="preserve"> If threatened, a citizen can invoke his or her rights against the other party. Should the other party fail to comply, it is a violation of the citizen’s rights and therefore the other party is subject to law. A citizen’s right to information regarding his or her perception of relative deprivation and/or politicized dissent is provided in Section 7, through transparency.</w:t>
      </w:r>
    </w:p>
    <w:sectPr w:rsidR="00533FAD" w:rsidRPr="0082313A" w:rsidSect="001820C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7D9" w:rsidRDefault="00C107D9" w:rsidP="001A698B">
      <w:pPr>
        <w:spacing w:after="0" w:line="240" w:lineRule="auto"/>
      </w:pPr>
      <w:r>
        <w:separator/>
      </w:r>
    </w:p>
  </w:endnote>
  <w:endnote w:type="continuationSeparator" w:id="0">
    <w:p w:rsidR="00C107D9" w:rsidRDefault="00C107D9" w:rsidP="001A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7D9" w:rsidRDefault="00C107D9" w:rsidP="001A698B">
      <w:pPr>
        <w:spacing w:after="0" w:line="240" w:lineRule="auto"/>
      </w:pPr>
      <w:r>
        <w:separator/>
      </w:r>
    </w:p>
  </w:footnote>
  <w:footnote w:type="continuationSeparator" w:id="0">
    <w:p w:rsidR="00C107D9" w:rsidRDefault="00C107D9" w:rsidP="001A698B">
      <w:pPr>
        <w:spacing w:after="0" w:line="240" w:lineRule="auto"/>
      </w:pPr>
      <w:r>
        <w:continuationSeparator/>
      </w:r>
    </w:p>
  </w:footnote>
  <w:footnote w:id="1">
    <w:p w:rsidR="008E531E" w:rsidRDefault="008E531E">
      <w:pPr>
        <w:pStyle w:val="FootnoteText"/>
      </w:pPr>
      <w:r>
        <w:rPr>
          <w:rStyle w:val="FootnoteReference"/>
        </w:rPr>
        <w:footnoteRef/>
      </w:r>
      <w:r>
        <w:t xml:space="preserve"> </w:t>
      </w:r>
      <w:r w:rsidRPr="008E531E">
        <w:t>http://tagaloglang.com/The-Philippines/Government/philippine-bill-of-rights.html</w:t>
      </w:r>
    </w:p>
  </w:footnote>
  <w:footnote w:id="2">
    <w:p w:rsidR="00D80066" w:rsidRDefault="00D80066">
      <w:pPr>
        <w:pStyle w:val="FootnoteText"/>
      </w:pPr>
      <w:r>
        <w:rPr>
          <w:rStyle w:val="FootnoteReference"/>
        </w:rPr>
        <w:footnoteRef/>
      </w:r>
      <w:r>
        <w:t xml:space="preserve"> </w:t>
      </w:r>
      <w:r w:rsidRPr="00D80066">
        <w:t xml:space="preserve">Freund, Charles Paul (23 Jun 2005). "Hello </w:t>
      </w:r>
      <w:proofErr w:type="spellStart"/>
      <w:r w:rsidRPr="00D80066">
        <w:t>Garci</w:t>
      </w:r>
      <w:proofErr w:type="spellEnd"/>
      <w:r w:rsidRPr="00D80066">
        <w:t>?</w:t>
      </w:r>
      <w:proofErr w:type="gramStart"/>
      <w:r w:rsidRPr="00D80066">
        <w:t>".</w:t>
      </w:r>
      <w:proofErr w:type="gramEnd"/>
      <w:r w:rsidRPr="00D80066">
        <w:t xml:space="preserve"> </w:t>
      </w:r>
      <w:proofErr w:type="gramStart"/>
      <w:r w:rsidRPr="00D80066">
        <w:t>Reason Magazine.</w:t>
      </w:r>
      <w:proofErr w:type="gramEnd"/>
      <w:r w:rsidRPr="00D80066">
        <w:t xml:space="preserve"> </w:t>
      </w:r>
      <w:proofErr w:type="gramStart"/>
      <w:r w:rsidRPr="00D80066">
        <w:t>Retrieved 02 Jun 2009.</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4B"/>
    <w:rsid w:val="0001500C"/>
    <w:rsid w:val="000163D7"/>
    <w:rsid w:val="00040DCA"/>
    <w:rsid w:val="001557A6"/>
    <w:rsid w:val="00171BC7"/>
    <w:rsid w:val="001820C9"/>
    <w:rsid w:val="001A698B"/>
    <w:rsid w:val="00333F23"/>
    <w:rsid w:val="0038097B"/>
    <w:rsid w:val="003B2D7A"/>
    <w:rsid w:val="003E7629"/>
    <w:rsid w:val="0044090E"/>
    <w:rsid w:val="004878FF"/>
    <w:rsid w:val="004D5ABF"/>
    <w:rsid w:val="00533FAD"/>
    <w:rsid w:val="00594BC0"/>
    <w:rsid w:val="00597AC3"/>
    <w:rsid w:val="005A275E"/>
    <w:rsid w:val="005A7564"/>
    <w:rsid w:val="00624510"/>
    <w:rsid w:val="00677EC8"/>
    <w:rsid w:val="00690579"/>
    <w:rsid w:val="007349ED"/>
    <w:rsid w:val="0077520F"/>
    <w:rsid w:val="0082313A"/>
    <w:rsid w:val="008649FB"/>
    <w:rsid w:val="0088654F"/>
    <w:rsid w:val="008A095F"/>
    <w:rsid w:val="008B379F"/>
    <w:rsid w:val="008E531E"/>
    <w:rsid w:val="009806F3"/>
    <w:rsid w:val="00A2045B"/>
    <w:rsid w:val="00A229C8"/>
    <w:rsid w:val="00A27143"/>
    <w:rsid w:val="00A63BCB"/>
    <w:rsid w:val="00AF5D41"/>
    <w:rsid w:val="00BD101A"/>
    <w:rsid w:val="00BD39AC"/>
    <w:rsid w:val="00C107D9"/>
    <w:rsid w:val="00CE335F"/>
    <w:rsid w:val="00D80066"/>
    <w:rsid w:val="00DF153E"/>
    <w:rsid w:val="00E462CB"/>
    <w:rsid w:val="00E54BED"/>
    <w:rsid w:val="00E66B2A"/>
    <w:rsid w:val="00EB0A4B"/>
    <w:rsid w:val="00EC0556"/>
    <w:rsid w:val="00F61565"/>
    <w:rsid w:val="00FE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6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98B"/>
    <w:rPr>
      <w:sz w:val="20"/>
      <w:szCs w:val="20"/>
    </w:rPr>
  </w:style>
  <w:style w:type="character" w:styleId="FootnoteReference">
    <w:name w:val="footnote reference"/>
    <w:basedOn w:val="DefaultParagraphFont"/>
    <w:uiPriority w:val="99"/>
    <w:semiHidden/>
    <w:unhideWhenUsed/>
    <w:rsid w:val="001A6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6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698B"/>
    <w:rPr>
      <w:sz w:val="20"/>
      <w:szCs w:val="20"/>
    </w:rPr>
  </w:style>
  <w:style w:type="character" w:styleId="FootnoteReference">
    <w:name w:val="footnote reference"/>
    <w:basedOn w:val="DefaultParagraphFont"/>
    <w:uiPriority w:val="99"/>
    <w:semiHidden/>
    <w:unhideWhenUsed/>
    <w:rsid w:val="001A6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5CA59-8293-4181-BC3B-3191895C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42</cp:revision>
  <dcterms:created xsi:type="dcterms:W3CDTF">2014-02-27T08:18:00Z</dcterms:created>
  <dcterms:modified xsi:type="dcterms:W3CDTF">2014-02-27T13:46:00Z</dcterms:modified>
</cp:coreProperties>
</file>