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r>
        <w:br w:type="page"/>
      </w:r>
    </w:p>
    <w:p>
      <w:pPr>
        <w:pStyle w:val="Heading1"/>
        <w:keepNext/>
      </w:pPr>
      <w:r>
        <w:t>5. Application Flowchart</w:t>
      </w:r>
    </w:p>
    <w:p>
      <w:pPr>
        <w:keepNext/>
        <w:spacing w:after="16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852160" cy="3803904"/>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852160" cy="3803904"/>
                    </a:xfrm>
                    <a:prstGeom prst="rect"/>
                  </pic:spPr>
                </pic:pic>
              </a:graphicData>
            </a:graphic>
          </wp:inline>
        </w:drawing>
      </w:r>
    </w:p>
    <w:p>
      <w:pPr>
        <w:spacing w:before="120"/>
        <w:jc w:val="center"/>
      </w:pPr>
      <w:r>
        <w:rPr>
          <w:rFonts w:ascii="Segoe UI" w:hAnsi="Segoe UI"/>
          <w:i/>
          <w:color w:val="6B7280"/>
          <w:sz w:val="18"/>
        </w:rPr>
        <w:t>Figure 5.1: High-Level Application Flowchart Diagram</w:t>
      </w:r>
    </w:p>
    <w:p>
      <w:r>
        <w:br w:type="page"/>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