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8"/>
        </w:rPr>
        <w:t>Project Lighthouse</w:t>
      </w:r>
    </w:p>
    <w:p>
      <w:pPr>
        <w:spacing w:before="0" w:after="160"/>
      </w:pPr>
      <w:r>
        <w:rPr>
          <w:rFonts w:ascii="Segoe UI" w:hAnsi="Segoe UI"/>
          <w:i/>
          <w:color w:val="14B8A6"/>
          <w:sz w:val="26"/>
        </w:rPr>
        <w:t>Wellbeing and Self-Reflection Web Platform</w:t>
      </w:r>
    </w:p>
    <w:p>
      <w:pPr>
        <w:spacing w:before="40" w:after="28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r>
        <w:br w:type="page"/>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4000" w:hRule="exact"/>
        </w:trPr>
        <w:tc>
          <w:tcPr>
            <w:tcW w:type="dxa" w:w="10080"/>
          </w:tcPr>
          <w:p>
            <w:pPr>
              <w:keepNext/>
              <w:jc w:val="center"/>
            </w:pPr>
            <w:r>
              <w:rPr>
                <w:rFonts w:ascii="Segoe UI" w:hAnsi="Segoe UI"/>
                <w:color w:val="9CA3AF"/>
                <w:sz w:val="19"/>
              </w:rPr>
              <w:br/>
              <w:br/>
              <w:t>[PASTE SCREENSHOT HERE]</w:t>
            </w:r>
          </w:p>
        </w:tc>
      </w:tr>
    </w:tbl>
    <w:p>
      <w:pPr>
        <w:spacing w:before="60" w:after="24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keepNext/>
      </w:pPr>
      <w:r>
        <w:t>5. Application Flowchart</w:t>
      </w:r>
    </w:p>
    <w:p>
      <w:pPr>
        <w:keepNext/>
        <w:spacing w:after="120"/>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303520" cy="3447288"/>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5303520" cy="3447288"/>
                    </a:xfrm>
                    <a:prstGeom prst="rect"/>
                  </pic:spPr>
                </pic:pic>
              </a:graphicData>
            </a:graphic>
          </wp:inline>
        </w:drawing>
      </w:r>
    </w:p>
    <w:p>
      <w:pPr>
        <w:spacing w:before="80" w:after="240"/>
        <w:jc w:val="center"/>
      </w:pPr>
      <w:r>
        <w:rPr>
          <w:rFonts w:ascii="Segoe UI" w:hAnsi="Segoe UI"/>
          <w:i/>
          <w:color w:val="6B7280"/>
          <w:sz w:val="18"/>
        </w:rPr>
        <w:t>Figure 5.1: High-Level Application Flowchart Diagram</w:t>
      </w:r>
    </w:p>
    <w:p>
      <w:r>
        <w:br/>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sz w:val="2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sz w:val="2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sz w:val="2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sz w:val="2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sz w:val="2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