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42DD8E" w14:textId="77777777" w:rsidR="006447CB" w:rsidRDefault="00CC3D80" w:rsidP="00CC3D80">
      <w:pPr>
        <w:jc w:val="center"/>
        <w:rPr>
          <w:b/>
        </w:rPr>
      </w:pPr>
      <w:r w:rsidRPr="00CC3D80">
        <w:rPr>
          <w:b/>
        </w:rPr>
        <w:t>Examining the diffusion of public health laws: the case of Tobacco 21</w:t>
      </w:r>
    </w:p>
    <w:p w14:paraId="3F3A49AF" w14:textId="77777777" w:rsidR="00CC3D80" w:rsidRPr="00CC3D80" w:rsidRDefault="00CC3D80" w:rsidP="00CC3D80">
      <w:pPr>
        <w:jc w:val="center"/>
      </w:pPr>
      <w:r w:rsidRPr="00CC3D80">
        <w:t>Diana Silver PhD MPH, Associate Professor of Public Health Policy, NYU College of Global Public Health</w:t>
      </w:r>
    </w:p>
    <w:p w14:paraId="3A2981C9" w14:textId="77777777" w:rsidR="00CC3D80" w:rsidRDefault="00CC3D80" w:rsidP="00CC3D80">
      <w:pPr>
        <w:jc w:val="center"/>
      </w:pPr>
      <w:r w:rsidRPr="00CC3D80">
        <w:t xml:space="preserve">James </w:t>
      </w:r>
      <w:proofErr w:type="spellStart"/>
      <w:r w:rsidRPr="00CC3D80">
        <w:t>Macinko</w:t>
      </w:r>
      <w:proofErr w:type="spellEnd"/>
      <w:r w:rsidRPr="00CC3D80">
        <w:t>, PhD, Professor, Departments of Community Health Sciences and Health Policy &amp; Management, UCLA Fielding School of Public Health</w:t>
      </w:r>
    </w:p>
    <w:p w14:paraId="6564D33C" w14:textId="77777777" w:rsidR="00CC3D80" w:rsidRDefault="00CC3D80" w:rsidP="005F21CA">
      <w:pPr>
        <w:rPr>
          <w:color w:val="FF0000"/>
        </w:rPr>
      </w:pPr>
    </w:p>
    <w:p w14:paraId="5D60F2D2" w14:textId="2DA4D597" w:rsidR="005F21CA" w:rsidRDefault="005F21CA" w:rsidP="005F21CA">
      <w:pPr>
        <w:rPr>
          <w:color w:val="FF0000"/>
        </w:rPr>
      </w:pPr>
      <w:r>
        <w:rPr>
          <w:color w:val="FF0000"/>
        </w:rPr>
        <w:t>What part of the paper would we have to write? Would we have to some literature review as well? Or is it going to be just methodology?</w:t>
      </w:r>
      <w:r w:rsidR="002462C9">
        <w:rPr>
          <w:color w:val="FF0000"/>
        </w:rPr>
        <w:t xml:space="preserve"> Do we need to read up on </w:t>
      </w:r>
      <w:proofErr w:type="gramStart"/>
      <w:r w:rsidR="002462C9">
        <w:rPr>
          <w:color w:val="FF0000"/>
        </w:rPr>
        <w:t>these political theory</w:t>
      </w:r>
      <w:proofErr w:type="gramEnd"/>
      <w:r w:rsidR="002462C9">
        <w:rPr>
          <w:color w:val="FF0000"/>
        </w:rPr>
        <w:t xml:space="preserve"> on what is up with these hypothesis?</w:t>
      </w:r>
    </w:p>
    <w:p w14:paraId="5C986553" w14:textId="3A174C2A" w:rsidR="00264F43" w:rsidRPr="005F21CA" w:rsidRDefault="00264F43" w:rsidP="005F21CA">
      <w:pPr>
        <w:rPr>
          <w:color w:val="FF0000"/>
        </w:rPr>
      </w:pPr>
      <w:r>
        <w:rPr>
          <w:color w:val="FF0000"/>
        </w:rPr>
        <w:t>How do we divide the tasks within this paper? It doesn’t look to be that much of work for a semester for 3 people?</w:t>
      </w:r>
    </w:p>
    <w:p w14:paraId="68088F1E" w14:textId="77777777" w:rsidR="00CC3D80" w:rsidRPr="00CC3D80" w:rsidRDefault="00CC3D80" w:rsidP="00CC3D80">
      <w:pPr>
        <w:shd w:val="clear" w:color="auto" w:fill="FFFFFF"/>
        <w:spacing w:after="0" w:line="240" w:lineRule="auto"/>
        <w:rPr>
          <w:rFonts w:eastAsia="Times New Roman" w:cs="Arial"/>
          <w:color w:val="222222"/>
          <w:sz w:val="19"/>
          <w:szCs w:val="19"/>
        </w:rPr>
      </w:pPr>
      <w:r w:rsidRPr="00CC3D80">
        <w:rPr>
          <w:rFonts w:eastAsia="Times New Roman" w:cs="Arial"/>
          <w:color w:val="222222"/>
        </w:rPr>
        <w:t>Background: Most studies of policy diffusion across US states and/or localities are based on the assumption that evidence of the policy’s success is generated first by the early adopters and that this evidence (in addition to other factors) is an important determinant of subsequent adoption by other localities.</w:t>
      </w:r>
    </w:p>
    <w:p w14:paraId="2B676870" w14:textId="77777777" w:rsidR="00CC3D80" w:rsidRPr="00CC3D80" w:rsidRDefault="00CC3D80" w:rsidP="00CC3D80">
      <w:pPr>
        <w:shd w:val="clear" w:color="auto" w:fill="FFFFFF"/>
        <w:spacing w:after="0" w:line="240" w:lineRule="auto"/>
        <w:rPr>
          <w:rFonts w:eastAsia="Times New Roman" w:cs="Arial"/>
          <w:color w:val="222222"/>
          <w:sz w:val="19"/>
          <w:szCs w:val="19"/>
        </w:rPr>
      </w:pPr>
      <w:r w:rsidRPr="00CC3D80">
        <w:rPr>
          <w:rFonts w:eastAsia="Times New Roman" w:cs="Arial"/>
          <w:color w:val="222222"/>
        </w:rPr>
        <w:t> </w:t>
      </w:r>
    </w:p>
    <w:p w14:paraId="10231540" w14:textId="77777777" w:rsidR="005F21CA" w:rsidRDefault="00CC3D80" w:rsidP="00CC3D80">
      <w:pPr>
        <w:shd w:val="clear" w:color="auto" w:fill="FFFFFF"/>
        <w:spacing w:after="0" w:line="240" w:lineRule="auto"/>
        <w:rPr>
          <w:rFonts w:eastAsia="Times New Roman" w:cs="Arial"/>
          <w:color w:val="222222"/>
        </w:rPr>
      </w:pPr>
      <w:r w:rsidRPr="00CC3D80">
        <w:rPr>
          <w:rFonts w:eastAsia="Times New Roman" w:cs="Arial"/>
          <w:color w:val="222222"/>
        </w:rPr>
        <w:t xml:space="preserve">Since 2013, 207 cities and two states have changed the minimum legal purchase age for tobacco from 18 to 21 (tobacco 21 or T21 laws), signaling a major change in the US tobacco regulatory landscape. But, there is little evidence that T21 laws are effective in changing youth tobacco use, other than a 2015 Institute of Medicine (IOM) report based on simulation models. </w:t>
      </w:r>
    </w:p>
    <w:p w14:paraId="7CF9BF5F" w14:textId="77777777" w:rsidR="005F21CA" w:rsidRDefault="005F21CA" w:rsidP="00CC3D80">
      <w:pPr>
        <w:shd w:val="clear" w:color="auto" w:fill="FFFFFF"/>
        <w:spacing w:after="0" w:line="240" w:lineRule="auto"/>
        <w:rPr>
          <w:rFonts w:eastAsia="Times New Roman" w:cs="Arial"/>
          <w:color w:val="222222"/>
        </w:rPr>
      </w:pPr>
    </w:p>
    <w:p w14:paraId="7F827E81" w14:textId="35FEB571" w:rsidR="005F21CA" w:rsidRPr="005F21CA" w:rsidRDefault="005F21CA" w:rsidP="00CC3D80">
      <w:pPr>
        <w:shd w:val="clear" w:color="auto" w:fill="FFFFFF"/>
        <w:spacing w:after="0" w:line="240" w:lineRule="auto"/>
        <w:rPr>
          <w:rFonts w:eastAsia="Times New Roman" w:cs="Arial"/>
          <w:color w:val="FF0000"/>
        </w:rPr>
      </w:pPr>
      <w:r>
        <w:rPr>
          <w:rFonts w:eastAsia="Times New Roman" w:cs="Arial"/>
          <w:color w:val="FF0000"/>
        </w:rPr>
        <w:t xml:space="preserve">We are using the speed and scope of how T21 spreads as a proxy to measure how effective the legislation is. </w:t>
      </w:r>
    </w:p>
    <w:p w14:paraId="142F8EB5" w14:textId="77777777" w:rsidR="005F21CA" w:rsidRDefault="005F21CA" w:rsidP="00CC3D80">
      <w:pPr>
        <w:shd w:val="clear" w:color="auto" w:fill="FFFFFF"/>
        <w:spacing w:after="0" w:line="240" w:lineRule="auto"/>
        <w:rPr>
          <w:rFonts w:eastAsia="Times New Roman" w:cs="Arial"/>
          <w:color w:val="222222"/>
        </w:rPr>
      </w:pPr>
    </w:p>
    <w:p w14:paraId="391E51CD" w14:textId="2CF2E2F6" w:rsidR="00CC3D80" w:rsidRPr="00CC3D80" w:rsidRDefault="00CC3D80" w:rsidP="00CC3D80">
      <w:pPr>
        <w:shd w:val="clear" w:color="auto" w:fill="FFFFFF"/>
        <w:spacing w:after="0" w:line="240" w:lineRule="auto"/>
        <w:rPr>
          <w:rFonts w:eastAsia="Times New Roman" w:cs="Arial"/>
          <w:color w:val="222222"/>
          <w:sz w:val="19"/>
          <w:szCs w:val="19"/>
        </w:rPr>
      </w:pPr>
      <w:r w:rsidRPr="00CC3D80">
        <w:rPr>
          <w:rFonts w:eastAsia="Times New Roman" w:cs="Arial"/>
          <w:color w:val="222222"/>
        </w:rPr>
        <w:t>The scope and speed of diffusion of T21 laws may therefore provide insights into the spread of new health laws and policies across different legislative units in the absence of empirical evidence of their effectiveness.</w:t>
      </w:r>
    </w:p>
    <w:p w14:paraId="5B34F964" w14:textId="77777777" w:rsidR="00CC3D80" w:rsidRPr="00CC3D80" w:rsidRDefault="00CC3D80" w:rsidP="00CC3D80">
      <w:pPr>
        <w:shd w:val="clear" w:color="auto" w:fill="FFFFFF"/>
        <w:spacing w:after="0" w:line="240" w:lineRule="auto"/>
        <w:rPr>
          <w:rFonts w:eastAsia="Times New Roman" w:cs="Arial"/>
          <w:color w:val="222222"/>
          <w:sz w:val="19"/>
          <w:szCs w:val="19"/>
        </w:rPr>
      </w:pPr>
      <w:r w:rsidRPr="00CC3D80">
        <w:rPr>
          <w:rFonts w:eastAsia="Times New Roman" w:cs="Arial"/>
          <w:color w:val="222222"/>
        </w:rPr>
        <w:t> </w:t>
      </w:r>
    </w:p>
    <w:p w14:paraId="07838E77" w14:textId="77777777" w:rsidR="005F21CA" w:rsidRDefault="00CC3D80" w:rsidP="00CC3D80">
      <w:pPr>
        <w:shd w:val="clear" w:color="auto" w:fill="FFFFFF"/>
        <w:spacing w:after="0" w:line="240" w:lineRule="auto"/>
        <w:rPr>
          <w:rFonts w:eastAsia="Times New Roman" w:cs="Arial"/>
          <w:color w:val="222222"/>
        </w:rPr>
      </w:pPr>
      <w:r w:rsidRPr="00CC3D80">
        <w:rPr>
          <w:rFonts w:eastAsia="Times New Roman" w:cs="Arial"/>
          <w:color w:val="222222"/>
        </w:rPr>
        <w:t xml:space="preserve">Objective: We test the following hypotheses: 1) Consistent with theories of bottom-up federalism, T21 adoption should occur in cities located in states with relatively weak tobacco legislation (low cigarette taxes, poor indoor air laws) with local adoption leading to state-level action; </w:t>
      </w:r>
    </w:p>
    <w:p w14:paraId="74CC6038" w14:textId="77777777" w:rsidR="005F21CA" w:rsidRDefault="005F21CA" w:rsidP="00CC3D80">
      <w:pPr>
        <w:shd w:val="clear" w:color="auto" w:fill="FFFFFF"/>
        <w:spacing w:after="0" w:line="240" w:lineRule="auto"/>
        <w:rPr>
          <w:rFonts w:eastAsia="Times New Roman" w:cs="Arial"/>
          <w:color w:val="222222"/>
        </w:rPr>
      </w:pPr>
    </w:p>
    <w:p w14:paraId="5205EF6C" w14:textId="7B2E1AC0" w:rsidR="005F21CA" w:rsidRPr="005F21CA" w:rsidRDefault="005F21CA" w:rsidP="00CC3D80">
      <w:pPr>
        <w:shd w:val="clear" w:color="auto" w:fill="FFFFFF"/>
        <w:spacing w:after="0" w:line="240" w:lineRule="auto"/>
        <w:rPr>
          <w:rFonts w:eastAsia="Times New Roman" w:cs="Arial"/>
          <w:color w:val="FF0000"/>
        </w:rPr>
      </w:pPr>
      <w:r>
        <w:rPr>
          <w:rFonts w:eastAsia="Times New Roman" w:cs="Arial"/>
          <w:color w:val="FF0000"/>
        </w:rPr>
        <w:t>I have doubts</w:t>
      </w:r>
      <w:r w:rsidR="002462C9">
        <w:rPr>
          <w:rFonts w:eastAsia="Times New Roman" w:cs="Arial"/>
          <w:color w:val="FF0000"/>
        </w:rPr>
        <w:t xml:space="preserve"> on how federalism leads to cities with relatively weak tobacco legislation adopting them? What is the reasoning there?</w:t>
      </w:r>
    </w:p>
    <w:p w14:paraId="5F94296C" w14:textId="77777777" w:rsidR="005F21CA" w:rsidRDefault="005F21CA" w:rsidP="00CC3D80">
      <w:pPr>
        <w:shd w:val="clear" w:color="auto" w:fill="FFFFFF"/>
        <w:spacing w:after="0" w:line="240" w:lineRule="auto"/>
        <w:rPr>
          <w:rFonts w:eastAsia="Times New Roman" w:cs="Arial"/>
          <w:color w:val="222222"/>
        </w:rPr>
      </w:pPr>
    </w:p>
    <w:p w14:paraId="32C52479" w14:textId="77777777" w:rsidR="002462C9" w:rsidRDefault="00CC3D80" w:rsidP="00CC3D80">
      <w:pPr>
        <w:shd w:val="clear" w:color="auto" w:fill="FFFFFF"/>
        <w:spacing w:after="0" w:line="240" w:lineRule="auto"/>
        <w:rPr>
          <w:rFonts w:eastAsia="Times New Roman" w:cs="Arial"/>
          <w:color w:val="222222"/>
        </w:rPr>
      </w:pPr>
      <w:r w:rsidRPr="00CC3D80">
        <w:rPr>
          <w:rFonts w:eastAsia="Times New Roman" w:cs="Arial"/>
          <w:color w:val="222222"/>
        </w:rPr>
        <w:t xml:space="preserve">2) Consistent with theories of policy competition and cooperation, T21 adoption should be positively associated with adoption by a neighboring city; </w:t>
      </w:r>
    </w:p>
    <w:p w14:paraId="5087F3C0" w14:textId="77777777" w:rsidR="002462C9" w:rsidRDefault="002462C9" w:rsidP="00CC3D80">
      <w:pPr>
        <w:shd w:val="clear" w:color="auto" w:fill="FFFFFF"/>
        <w:spacing w:after="0" w:line="240" w:lineRule="auto"/>
        <w:rPr>
          <w:rFonts w:eastAsia="Times New Roman" w:cs="Arial"/>
          <w:color w:val="222222"/>
        </w:rPr>
      </w:pPr>
    </w:p>
    <w:p w14:paraId="27A2D9D3" w14:textId="5C3940CB" w:rsidR="002462C9" w:rsidRPr="002462C9" w:rsidRDefault="002462C9" w:rsidP="00CC3D80">
      <w:pPr>
        <w:shd w:val="clear" w:color="auto" w:fill="FFFFFF"/>
        <w:spacing w:after="0" w:line="240" w:lineRule="auto"/>
        <w:rPr>
          <w:rFonts w:eastAsia="Times New Roman" w:cs="Arial"/>
          <w:color w:val="FF0000"/>
        </w:rPr>
      </w:pPr>
      <w:r>
        <w:rPr>
          <w:rFonts w:eastAsia="Times New Roman" w:cs="Arial"/>
          <w:color w:val="FF0000"/>
        </w:rPr>
        <w:t>Neighbors tend to collude in terms of policy. How come? Shouldn’t neighbors adopt different policies due to different interests? Is this conditional upon sin regulation? Should we examine it across different types of regulation?</w:t>
      </w:r>
    </w:p>
    <w:p w14:paraId="0A9EE88A" w14:textId="77777777" w:rsidR="002462C9" w:rsidRDefault="002462C9" w:rsidP="00CC3D80">
      <w:pPr>
        <w:shd w:val="clear" w:color="auto" w:fill="FFFFFF"/>
        <w:spacing w:after="0" w:line="240" w:lineRule="auto"/>
        <w:rPr>
          <w:rFonts w:eastAsia="Times New Roman" w:cs="Arial"/>
          <w:color w:val="222222"/>
        </w:rPr>
      </w:pPr>
    </w:p>
    <w:p w14:paraId="0D4BBD2B" w14:textId="77777777" w:rsidR="002462C9" w:rsidRDefault="002462C9" w:rsidP="00CC3D80">
      <w:pPr>
        <w:shd w:val="clear" w:color="auto" w:fill="FFFFFF"/>
        <w:spacing w:after="0" w:line="240" w:lineRule="auto"/>
        <w:rPr>
          <w:rFonts w:eastAsia="Times New Roman" w:cs="Arial"/>
          <w:color w:val="222222"/>
        </w:rPr>
      </w:pPr>
    </w:p>
    <w:p w14:paraId="21723182" w14:textId="22BEFB95" w:rsidR="002462C9" w:rsidRDefault="00CC3D80" w:rsidP="00CC3D80">
      <w:pPr>
        <w:shd w:val="clear" w:color="auto" w:fill="FFFFFF"/>
        <w:spacing w:after="0" w:line="240" w:lineRule="auto"/>
        <w:rPr>
          <w:rFonts w:eastAsia="Times New Roman" w:cs="Arial"/>
          <w:color w:val="222222"/>
        </w:rPr>
      </w:pPr>
      <w:r w:rsidRPr="00CC3D80">
        <w:rPr>
          <w:rFonts w:eastAsia="Times New Roman" w:cs="Arial"/>
          <w:color w:val="222222"/>
        </w:rPr>
        <w:t xml:space="preserve">3) All else equal, higher city smoking rates should be positively associated with T21 adoption; and </w:t>
      </w:r>
    </w:p>
    <w:p w14:paraId="5C2BBDF1" w14:textId="77777777" w:rsidR="002462C9" w:rsidRDefault="002462C9" w:rsidP="00CC3D80">
      <w:pPr>
        <w:shd w:val="clear" w:color="auto" w:fill="FFFFFF"/>
        <w:spacing w:after="0" w:line="240" w:lineRule="auto"/>
        <w:rPr>
          <w:rFonts w:eastAsia="Times New Roman" w:cs="Arial"/>
          <w:color w:val="222222"/>
        </w:rPr>
      </w:pPr>
    </w:p>
    <w:p w14:paraId="13C65388" w14:textId="3A7F3810" w:rsidR="002462C9" w:rsidRPr="002462C9" w:rsidRDefault="002462C9" w:rsidP="00CC3D80">
      <w:pPr>
        <w:shd w:val="clear" w:color="auto" w:fill="FFFFFF"/>
        <w:spacing w:after="0" w:line="240" w:lineRule="auto"/>
        <w:rPr>
          <w:rFonts w:eastAsia="Times New Roman" w:cs="Arial"/>
          <w:color w:val="FF0000"/>
        </w:rPr>
      </w:pPr>
      <w:r>
        <w:rPr>
          <w:rFonts w:eastAsia="Times New Roman" w:cs="Arial"/>
          <w:color w:val="FF0000"/>
        </w:rPr>
        <w:t>What of the role of the Tobacco lobby?</w:t>
      </w:r>
    </w:p>
    <w:p w14:paraId="1522A87C" w14:textId="77777777" w:rsidR="002462C9" w:rsidRDefault="002462C9" w:rsidP="00CC3D80">
      <w:pPr>
        <w:shd w:val="clear" w:color="auto" w:fill="FFFFFF"/>
        <w:spacing w:after="0" w:line="240" w:lineRule="auto"/>
        <w:rPr>
          <w:rFonts w:eastAsia="Times New Roman" w:cs="Arial"/>
          <w:color w:val="222222"/>
        </w:rPr>
      </w:pPr>
    </w:p>
    <w:p w14:paraId="6DA66008" w14:textId="77777777" w:rsidR="002462C9" w:rsidRDefault="002462C9" w:rsidP="00CC3D80">
      <w:pPr>
        <w:shd w:val="clear" w:color="auto" w:fill="FFFFFF"/>
        <w:spacing w:after="0" w:line="240" w:lineRule="auto"/>
        <w:rPr>
          <w:rFonts w:eastAsia="Times New Roman" w:cs="Arial"/>
          <w:color w:val="222222"/>
        </w:rPr>
      </w:pPr>
    </w:p>
    <w:p w14:paraId="1A505BF4" w14:textId="34E1F975" w:rsidR="00CC3D80" w:rsidRDefault="00CC3D80" w:rsidP="00CC3D80">
      <w:pPr>
        <w:shd w:val="clear" w:color="auto" w:fill="FFFFFF"/>
        <w:spacing w:after="0" w:line="240" w:lineRule="auto"/>
        <w:rPr>
          <w:rFonts w:eastAsia="Times New Roman" w:cs="Arial"/>
          <w:color w:val="222222"/>
        </w:rPr>
      </w:pPr>
      <w:r w:rsidRPr="00CC3D80">
        <w:rPr>
          <w:rFonts w:eastAsia="Times New Roman" w:cs="Arial"/>
          <w:color w:val="222222"/>
        </w:rPr>
        <w:t>4) T21 adoption should be more common among cities with mayors on the political left.</w:t>
      </w:r>
    </w:p>
    <w:p w14:paraId="3D96855F" w14:textId="77777777" w:rsidR="002462C9" w:rsidRDefault="002462C9" w:rsidP="00CC3D80">
      <w:pPr>
        <w:shd w:val="clear" w:color="auto" w:fill="FFFFFF"/>
        <w:spacing w:after="0" w:line="240" w:lineRule="auto"/>
        <w:rPr>
          <w:rFonts w:eastAsia="Times New Roman" w:cs="Arial"/>
          <w:color w:val="222222"/>
        </w:rPr>
      </w:pPr>
    </w:p>
    <w:p w14:paraId="528752E5" w14:textId="2C83FCAD" w:rsidR="002462C9" w:rsidRPr="002462C9" w:rsidRDefault="002462C9" w:rsidP="00CC3D80">
      <w:pPr>
        <w:shd w:val="clear" w:color="auto" w:fill="FFFFFF"/>
        <w:spacing w:after="0" w:line="240" w:lineRule="auto"/>
        <w:rPr>
          <w:rFonts w:eastAsia="Times New Roman" w:cs="Arial"/>
          <w:color w:val="FF0000"/>
          <w:sz w:val="19"/>
          <w:szCs w:val="19"/>
        </w:rPr>
      </w:pPr>
      <w:r>
        <w:rPr>
          <w:rFonts w:eastAsia="Times New Roman" w:cs="Arial"/>
          <w:color w:val="FF0000"/>
        </w:rPr>
        <w:t xml:space="preserve">How would </w:t>
      </w:r>
      <w:proofErr w:type="gramStart"/>
      <w:r>
        <w:rPr>
          <w:rFonts w:eastAsia="Times New Roman" w:cs="Arial"/>
          <w:color w:val="FF0000"/>
        </w:rPr>
        <w:t>all these</w:t>
      </w:r>
      <w:proofErr w:type="gramEnd"/>
      <w:r>
        <w:rPr>
          <w:rFonts w:eastAsia="Times New Roman" w:cs="Arial"/>
          <w:color w:val="FF0000"/>
        </w:rPr>
        <w:t xml:space="preserve"> four hypothesis interact and interplay? Would they move in conjunction together?</w:t>
      </w:r>
    </w:p>
    <w:p w14:paraId="17E46554" w14:textId="77777777" w:rsidR="00CC3D80" w:rsidRPr="00CC3D80" w:rsidRDefault="00CC3D80" w:rsidP="00CC3D80">
      <w:pPr>
        <w:shd w:val="clear" w:color="auto" w:fill="FFFFFF"/>
        <w:spacing w:after="0" w:line="240" w:lineRule="auto"/>
        <w:rPr>
          <w:rFonts w:eastAsia="Times New Roman" w:cs="Arial"/>
          <w:color w:val="222222"/>
          <w:sz w:val="19"/>
          <w:szCs w:val="19"/>
        </w:rPr>
      </w:pPr>
      <w:r w:rsidRPr="00CC3D80">
        <w:rPr>
          <w:rFonts w:eastAsia="Times New Roman" w:cs="Arial"/>
          <w:color w:val="222222"/>
        </w:rPr>
        <w:t> </w:t>
      </w:r>
    </w:p>
    <w:p w14:paraId="300FF825" w14:textId="77777777" w:rsidR="00CC3D80" w:rsidRDefault="00CC3D80" w:rsidP="00CC3D80">
      <w:pPr>
        <w:shd w:val="clear" w:color="auto" w:fill="FFFFFF"/>
        <w:spacing w:after="0" w:line="240" w:lineRule="auto"/>
        <w:rPr>
          <w:rFonts w:eastAsia="Times New Roman" w:cs="Arial"/>
          <w:color w:val="222222"/>
        </w:rPr>
      </w:pPr>
      <w:r w:rsidRPr="00CC3D80">
        <w:rPr>
          <w:rFonts w:eastAsia="Times New Roman" w:cs="Arial"/>
          <w:color w:val="222222"/>
        </w:rPr>
        <w:t>Data: We merge data on the date of enactment of T21 laws in 208 cities/counties with RWJF county health rankings of risky health behaviors; data on the political party of the current mayor; </w:t>
      </w:r>
      <w:r w:rsidRPr="00CC3D80">
        <w:rPr>
          <w:rFonts w:eastAsia="Times New Roman" w:cs="Arial"/>
          <w:color w:val="000000"/>
        </w:rPr>
        <w:t>data on local and state cigarette taxes and clean indoor air laws; </w:t>
      </w:r>
      <w:r w:rsidRPr="00CC3D80">
        <w:rPr>
          <w:rFonts w:eastAsia="Times New Roman" w:cs="Arial"/>
          <w:color w:val="222222"/>
        </w:rPr>
        <w:t>and HRSA’s area resource files for population and economic measures.</w:t>
      </w:r>
    </w:p>
    <w:p w14:paraId="5E813863" w14:textId="77777777" w:rsidR="002462C9" w:rsidRDefault="002462C9" w:rsidP="00CC3D80">
      <w:pPr>
        <w:shd w:val="clear" w:color="auto" w:fill="FFFFFF"/>
        <w:spacing w:after="0" w:line="240" w:lineRule="auto"/>
        <w:rPr>
          <w:rFonts w:eastAsia="Times New Roman" w:cs="Arial"/>
          <w:color w:val="222222"/>
        </w:rPr>
      </w:pPr>
    </w:p>
    <w:p w14:paraId="1E5D0901" w14:textId="18BB61DF" w:rsidR="002462C9" w:rsidRPr="002462C9" w:rsidRDefault="002462C9" w:rsidP="00CC3D80">
      <w:pPr>
        <w:shd w:val="clear" w:color="auto" w:fill="FFFFFF"/>
        <w:spacing w:after="0" w:line="240" w:lineRule="auto"/>
        <w:rPr>
          <w:rFonts w:eastAsia="Times New Roman" w:cs="Arial"/>
          <w:color w:val="FF0000"/>
        </w:rPr>
      </w:pPr>
      <w:r>
        <w:rPr>
          <w:rFonts w:eastAsia="Times New Roman" w:cs="Arial"/>
          <w:color w:val="FF0000"/>
        </w:rPr>
        <w:t>Check if the data they have given is similar to what I expect of them?</w:t>
      </w:r>
    </w:p>
    <w:p w14:paraId="722F3970" w14:textId="77777777" w:rsidR="002462C9" w:rsidRPr="00CC3D80" w:rsidRDefault="002462C9" w:rsidP="00CC3D80">
      <w:pPr>
        <w:shd w:val="clear" w:color="auto" w:fill="FFFFFF"/>
        <w:spacing w:after="0" w:line="240" w:lineRule="auto"/>
        <w:rPr>
          <w:rFonts w:eastAsia="Times New Roman" w:cs="Arial"/>
          <w:color w:val="222222"/>
          <w:sz w:val="19"/>
          <w:szCs w:val="19"/>
        </w:rPr>
      </w:pPr>
    </w:p>
    <w:p w14:paraId="6FAF78DB" w14:textId="77777777" w:rsidR="00CC3D80" w:rsidRPr="00CC3D80" w:rsidRDefault="00CC3D80" w:rsidP="00CC3D80">
      <w:pPr>
        <w:shd w:val="clear" w:color="auto" w:fill="FFFFFF"/>
        <w:spacing w:after="0" w:line="240" w:lineRule="auto"/>
        <w:rPr>
          <w:rFonts w:eastAsia="Times New Roman" w:cs="Arial"/>
          <w:color w:val="222222"/>
          <w:sz w:val="19"/>
          <w:szCs w:val="19"/>
        </w:rPr>
      </w:pPr>
      <w:r w:rsidRPr="00CC3D80">
        <w:rPr>
          <w:rFonts w:eastAsia="Times New Roman" w:cs="Arial"/>
          <w:color w:val="222222"/>
        </w:rPr>
        <w:t> </w:t>
      </w:r>
    </w:p>
    <w:p w14:paraId="39BC6C76" w14:textId="77777777" w:rsidR="00CC3D80" w:rsidRPr="00CC3D80" w:rsidRDefault="00CC3D80" w:rsidP="00CC3D80">
      <w:pPr>
        <w:shd w:val="clear" w:color="auto" w:fill="FFFFFF"/>
        <w:spacing w:after="0" w:line="240" w:lineRule="auto"/>
        <w:rPr>
          <w:rFonts w:eastAsia="Times New Roman" w:cs="Arial"/>
          <w:color w:val="000000"/>
        </w:rPr>
      </w:pPr>
      <w:r w:rsidRPr="00CC3D80">
        <w:rPr>
          <w:rFonts w:eastAsia="Times New Roman" w:cs="Arial"/>
          <w:color w:val="222222"/>
        </w:rPr>
        <w:t>Statistical analysis: </w:t>
      </w:r>
      <w:r w:rsidRPr="00CC3D80">
        <w:rPr>
          <w:rFonts w:eastAsia="Times New Roman" w:cs="Arial"/>
          <w:color w:val="000000"/>
        </w:rPr>
        <w:t xml:space="preserve">We use event history analysis to identify predictors of T21 law adoption in all US </w:t>
      </w:r>
      <w:r w:rsidRPr="00C84BED">
        <w:rPr>
          <w:rFonts w:eastAsia="Times New Roman" w:cs="Arial"/>
          <w:color w:val="000000"/>
          <w:vertAlign w:val="subscript"/>
        </w:rPr>
        <w:t>counties</w:t>
      </w:r>
      <w:r w:rsidRPr="00CC3D80">
        <w:rPr>
          <w:rFonts w:eastAsia="Times New Roman" w:cs="Arial"/>
          <w:color w:val="000000"/>
        </w:rPr>
        <w:t xml:space="preserve"> (adopters and non-adopters) from 2013 to 2017, </w:t>
      </w:r>
      <w:r w:rsidRPr="00CC3D80">
        <w:rPr>
          <w:rFonts w:eastAsia="Times New Roman" w:cs="Arial"/>
          <w:color w:val="222222"/>
        </w:rPr>
        <w:t>using days as the unit of time.</w:t>
      </w:r>
      <w:r w:rsidRPr="00CC3D80">
        <w:rPr>
          <w:rFonts w:eastAsia="Times New Roman" w:cs="Arial"/>
          <w:color w:val="000000"/>
        </w:rPr>
        <w:t> Independent variables were internal city factors (smoking rates, tobacco laws, mayor’s political party, income and unemployment rates, population size and proportion under 19). External factors included state cigarette tax and clean indoor air laws, a count of neighboring cities with T21 laws, the publication date of the IOM report, and state tobacco cultivation. </w:t>
      </w:r>
    </w:p>
    <w:p w14:paraId="0C99AAEF" w14:textId="77777777" w:rsidR="00CC3D80" w:rsidRDefault="00CC3D80" w:rsidP="00CC3D80">
      <w:pPr>
        <w:shd w:val="clear" w:color="auto" w:fill="FFFFFF"/>
        <w:spacing w:after="0" w:line="240" w:lineRule="auto"/>
        <w:rPr>
          <w:rFonts w:eastAsia="Times New Roman" w:cs="Arial"/>
          <w:color w:val="000000"/>
        </w:rPr>
      </w:pPr>
    </w:p>
    <w:p w14:paraId="67A655F1" w14:textId="23DE7E1D" w:rsidR="002462C9" w:rsidRPr="002462C9" w:rsidRDefault="002462C9" w:rsidP="002462C9">
      <w:pPr>
        <w:pStyle w:val="ListParagraph"/>
        <w:numPr>
          <w:ilvl w:val="0"/>
          <w:numId w:val="1"/>
        </w:numPr>
        <w:shd w:val="clear" w:color="auto" w:fill="FFFFFF"/>
        <w:spacing w:after="0" w:line="240" w:lineRule="auto"/>
        <w:rPr>
          <w:rFonts w:eastAsia="Times New Roman" w:cs="Arial"/>
          <w:color w:val="FF0000"/>
        </w:rPr>
      </w:pPr>
      <w:r w:rsidRPr="002462C9">
        <w:rPr>
          <w:rFonts w:eastAsia="Times New Roman" w:cs="Arial"/>
          <w:color w:val="FF0000"/>
        </w:rPr>
        <w:t>What is IOM report?</w:t>
      </w:r>
    </w:p>
    <w:p w14:paraId="733BE5A6" w14:textId="2637EEC6" w:rsidR="002462C9" w:rsidRPr="002462C9" w:rsidRDefault="002462C9" w:rsidP="002462C9">
      <w:pPr>
        <w:pStyle w:val="ListParagraph"/>
        <w:numPr>
          <w:ilvl w:val="0"/>
          <w:numId w:val="1"/>
        </w:numPr>
        <w:shd w:val="clear" w:color="auto" w:fill="FFFFFF"/>
        <w:spacing w:after="0" w:line="240" w:lineRule="auto"/>
        <w:rPr>
          <w:rFonts w:eastAsia="Times New Roman" w:cs="Arial"/>
          <w:color w:val="FF0000"/>
        </w:rPr>
      </w:pPr>
      <w:r>
        <w:rPr>
          <w:rFonts w:eastAsia="Times New Roman" w:cs="Arial"/>
          <w:color w:val="FF0000"/>
        </w:rPr>
        <w:t xml:space="preserve">What </w:t>
      </w:r>
      <w:proofErr w:type="gramStart"/>
      <w:r>
        <w:rPr>
          <w:rFonts w:eastAsia="Times New Roman" w:cs="Arial"/>
          <w:color w:val="FF0000"/>
        </w:rPr>
        <w:t xml:space="preserve">is internal factors </w:t>
      </w:r>
      <w:proofErr w:type="spellStart"/>
      <w:r>
        <w:rPr>
          <w:rFonts w:eastAsia="Times New Roman" w:cs="Arial"/>
          <w:color w:val="FF0000"/>
        </w:rPr>
        <w:t>vs</w:t>
      </w:r>
      <w:proofErr w:type="spellEnd"/>
      <w:r>
        <w:rPr>
          <w:rFonts w:eastAsia="Times New Roman" w:cs="Arial"/>
          <w:color w:val="FF0000"/>
        </w:rPr>
        <w:t xml:space="preserve"> external factors</w:t>
      </w:r>
      <w:proofErr w:type="gramEnd"/>
      <w:r>
        <w:rPr>
          <w:rFonts w:eastAsia="Times New Roman" w:cs="Arial"/>
          <w:color w:val="FF0000"/>
        </w:rPr>
        <w:t>?</w:t>
      </w:r>
    </w:p>
    <w:p w14:paraId="7E3F51E9" w14:textId="77777777" w:rsidR="00CC3D80" w:rsidRPr="00CC3D80" w:rsidRDefault="00CC3D80" w:rsidP="00CC3D80">
      <w:pPr>
        <w:shd w:val="clear" w:color="auto" w:fill="FFFFFF"/>
        <w:spacing w:after="0" w:line="240" w:lineRule="auto"/>
        <w:rPr>
          <w:rFonts w:eastAsia="Times New Roman" w:cs="Arial"/>
          <w:color w:val="000000"/>
        </w:rPr>
      </w:pPr>
    </w:p>
    <w:p w14:paraId="5E365599" w14:textId="77777777" w:rsidR="00CC3D80" w:rsidRPr="00780E8D" w:rsidRDefault="00CC3D80" w:rsidP="00CC3D80">
      <w:pPr>
        <w:shd w:val="clear" w:color="auto" w:fill="FFFFFF"/>
        <w:spacing w:after="0" w:line="240" w:lineRule="auto"/>
        <w:rPr>
          <w:rFonts w:eastAsia="Times New Roman" w:cs="Arial"/>
          <w:color w:val="000000"/>
        </w:rPr>
      </w:pPr>
      <w:r w:rsidRPr="00780E8D">
        <w:rPr>
          <w:rFonts w:eastAsia="Times New Roman" w:cs="Arial"/>
          <w:color w:val="000000"/>
        </w:rPr>
        <w:t>Challenges for the analysis:</w:t>
      </w:r>
    </w:p>
    <w:p w14:paraId="657EB575" w14:textId="77777777" w:rsidR="00CC3D80" w:rsidRPr="00CC3D80" w:rsidRDefault="00CC3D80" w:rsidP="00CC3D80">
      <w:pPr>
        <w:shd w:val="clear" w:color="auto" w:fill="FFFFFF"/>
        <w:spacing w:after="0" w:line="240" w:lineRule="auto"/>
        <w:rPr>
          <w:rFonts w:eastAsia="Times New Roman" w:cs="Arial"/>
          <w:color w:val="222222"/>
        </w:rPr>
      </w:pPr>
    </w:p>
    <w:p w14:paraId="49043267" w14:textId="77777777" w:rsidR="00CC3D80" w:rsidRDefault="00CC3D80" w:rsidP="00CC3D80">
      <w:pPr>
        <w:shd w:val="clear" w:color="auto" w:fill="FFFFFF"/>
        <w:spacing w:after="0" w:line="240" w:lineRule="auto"/>
        <w:rPr>
          <w:rFonts w:eastAsia="Times New Roman" w:cs="Arial"/>
          <w:color w:val="222222"/>
        </w:rPr>
      </w:pPr>
      <w:r w:rsidRPr="00CC3D80">
        <w:rPr>
          <w:rFonts w:eastAsia="Times New Roman" w:cs="Arial"/>
          <w:color w:val="222222"/>
        </w:rPr>
        <w:t xml:space="preserve">1. </w:t>
      </w:r>
      <w:r w:rsidRPr="00780E8D">
        <w:rPr>
          <w:rFonts w:eastAsia="Times New Roman" w:cs="Arial"/>
          <w:color w:val="222222"/>
        </w:rPr>
        <w:t>N</w:t>
      </w:r>
      <w:r w:rsidRPr="00CC3D80">
        <w:rPr>
          <w:rFonts w:eastAsia="Times New Roman" w:cs="Arial"/>
          <w:color w:val="222222"/>
        </w:rPr>
        <w:t>eed to create a spatial matrix that shows not only clustering by being in the same state, but also som</w:t>
      </w:r>
      <w:r w:rsidRPr="00780E8D">
        <w:rPr>
          <w:rFonts w:eastAsia="Times New Roman" w:cs="Arial"/>
          <w:color w:val="222222"/>
        </w:rPr>
        <w:t>e cities are in the same county.</w:t>
      </w:r>
      <w:r w:rsidRPr="00CC3D80">
        <w:rPr>
          <w:rFonts w:eastAsia="Times New Roman" w:cs="Arial"/>
          <w:color w:val="222222"/>
        </w:rPr>
        <w:t>  In</w:t>
      </w:r>
      <w:r w:rsidRPr="00780E8D">
        <w:rPr>
          <w:rFonts w:eastAsia="Times New Roman" w:cs="Arial"/>
          <w:color w:val="222222"/>
        </w:rPr>
        <w:t xml:space="preserve"> such a </w:t>
      </w:r>
      <w:r w:rsidRPr="00CC3D80">
        <w:rPr>
          <w:rFonts w:eastAsia="Times New Roman" w:cs="Arial"/>
          <w:color w:val="222222"/>
        </w:rPr>
        <w:t>case, we would have to use the same variables as covariates.</w:t>
      </w:r>
    </w:p>
    <w:p w14:paraId="4ACFDA33" w14:textId="77777777" w:rsidR="002462C9" w:rsidRPr="00CC3D80" w:rsidRDefault="002462C9" w:rsidP="00CC3D80">
      <w:pPr>
        <w:shd w:val="clear" w:color="auto" w:fill="FFFFFF"/>
        <w:spacing w:after="0" w:line="240" w:lineRule="auto"/>
        <w:rPr>
          <w:rFonts w:eastAsia="Times New Roman" w:cs="Arial"/>
          <w:color w:val="222222"/>
        </w:rPr>
      </w:pPr>
    </w:p>
    <w:p w14:paraId="410E7EA5" w14:textId="78398F98" w:rsidR="00CC3D80" w:rsidRPr="002462C9" w:rsidRDefault="002462C9" w:rsidP="00CC3D80">
      <w:pPr>
        <w:shd w:val="clear" w:color="auto" w:fill="FFFFFF"/>
        <w:spacing w:after="0" w:line="240" w:lineRule="auto"/>
        <w:rPr>
          <w:rFonts w:eastAsia="Times New Roman" w:cs="Arial"/>
          <w:color w:val="FF0000"/>
        </w:rPr>
      </w:pPr>
      <w:r>
        <w:rPr>
          <w:rFonts w:eastAsia="Times New Roman" w:cs="Arial"/>
          <w:color w:val="FF0000"/>
        </w:rPr>
        <w:t xml:space="preserve">What do you mean by same variables as covariates? Is this going to require GIS? </w:t>
      </w:r>
      <w:r w:rsidR="00264F43">
        <w:rPr>
          <w:rFonts w:eastAsia="Times New Roman" w:cs="Arial"/>
          <w:color w:val="FF0000"/>
        </w:rPr>
        <w:t>How would we go about doing it?</w:t>
      </w:r>
    </w:p>
    <w:p w14:paraId="6EAF1302" w14:textId="77777777" w:rsidR="002462C9" w:rsidRPr="00CC3D80" w:rsidRDefault="002462C9" w:rsidP="00CC3D80">
      <w:pPr>
        <w:shd w:val="clear" w:color="auto" w:fill="FFFFFF"/>
        <w:spacing w:after="0" w:line="240" w:lineRule="auto"/>
        <w:rPr>
          <w:rFonts w:eastAsia="Times New Roman" w:cs="Arial"/>
          <w:color w:val="222222"/>
        </w:rPr>
      </w:pPr>
    </w:p>
    <w:p w14:paraId="641D68FD" w14:textId="77777777" w:rsidR="00CC3D80" w:rsidRPr="00CC3D80" w:rsidRDefault="00CC3D80" w:rsidP="00CC3D80">
      <w:pPr>
        <w:shd w:val="clear" w:color="auto" w:fill="FFFFFF"/>
        <w:spacing w:after="0" w:line="240" w:lineRule="auto"/>
        <w:rPr>
          <w:rFonts w:eastAsia="Times New Roman" w:cs="Arial"/>
          <w:color w:val="222222"/>
        </w:rPr>
      </w:pPr>
      <w:r w:rsidRPr="00780E8D">
        <w:rPr>
          <w:rFonts w:eastAsia="Times New Roman" w:cs="Arial"/>
          <w:color w:val="222222"/>
        </w:rPr>
        <w:t>2. N</w:t>
      </w:r>
      <w:r w:rsidRPr="00CC3D80">
        <w:rPr>
          <w:rFonts w:eastAsia="Times New Roman" w:cs="Arial"/>
          <w:color w:val="222222"/>
        </w:rPr>
        <w:t>eed some meas</w:t>
      </w:r>
      <w:r w:rsidRPr="00780E8D">
        <w:rPr>
          <w:rFonts w:eastAsia="Times New Roman" w:cs="Arial"/>
          <w:color w:val="222222"/>
        </w:rPr>
        <w:t>ure of physical closeness</w:t>
      </w:r>
      <w:r w:rsidR="00780E8D">
        <w:rPr>
          <w:rFonts w:eastAsia="Times New Roman" w:cs="Arial"/>
          <w:color w:val="222222"/>
        </w:rPr>
        <w:t>, since most studies of diffusion of laws find that geographical closeness is a predictor of a law’s adoption.  However, those studies all look at state-to-state diffusion.  Possible to</w:t>
      </w:r>
      <w:r w:rsidRPr="00CC3D80">
        <w:rPr>
          <w:rFonts w:eastAsia="Times New Roman" w:cs="Arial"/>
          <w:color w:val="222222"/>
        </w:rPr>
        <w:t xml:space="preserve"> use the Moran's I for that</w:t>
      </w:r>
      <w:r w:rsidR="00780E8D">
        <w:rPr>
          <w:rFonts w:eastAsia="Times New Roman" w:cs="Arial"/>
          <w:color w:val="222222"/>
        </w:rPr>
        <w:t xml:space="preserve">, </w:t>
      </w:r>
      <w:r w:rsidRPr="00CC3D80">
        <w:rPr>
          <w:rFonts w:eastAsia="Times New Roman" w:cs="Arial"/>
          <w:color w:val="222222"/>
        </w:rPr>
        <w:t>but also need to account fo</w:t>
      </w:r>
      <w:r w:rsidRPr="00780E8D">
        <w:rPr>
          <w:rFonts w:eastAsia="Times New Roman" w:cs="Arial"/>
          <w:color w:val="222222"/>
        </w:rPr>
        <w:t>r actual contiguous cities. S</w:t>
      </w:r>
      <w:r w:rsidRPr="00CC3D80">
        <w:rPr>
          <w:rFonts w:eastAsia="Times New Roman" w:cs="Arial"/>
          <w:color w:val="222222"/>
        </w:rPr>
        <w:t>hould it be more heavily weighted if the cities are in the same state or if they border each other but are in different states?</w:t>
      </w:r>
    </w:p>
    <w:p w14:paraId="5751A513" w14:textId="10096634" w:rsidR="00CC3D80" w:rsidRPr="00264F43" w:rsidRDefault="00264F43" w:rsidP="00CC3D80">
      <w:pPr>
        <w:shd w:val="clear" w:color="auto" w:fill="FFFFFF"/>
        <w:spacing w:after="0" w:line="240" w:lineRule="auto"/>
        <w:rPr>
          <w:rFonts w:eastAsia="Times New Roman" w:cs="Arial"/>
          <w:color w:val="FF0000"/>
        </w:rPr>
      </w:pPr>
      <w:r>
        <w:rPr>
          <w:rFonts w:eastAsia="Times New Roman" w:cs="Arial"/>
          <w:color w:val="222222"/>
        </w:rPr>
        <w:br/>
      </w:r>
      <w:r>
        <w:rPr>
          <w:rFonts w:eastAsia="Times New Roman" w:cs="Arial"/>
          <w:color w:val="FF0000"/>
        </w:rPr>
        <w:t xml:space="preserve">What is </w:t>
      </w:r>
      <w:proofErr w:type="gramStart"/>
      <w:r>
        <w:rPr>
          <w:rFonts w:eastAsia="Times New Roman" w:cs="Arial"/>
          <w:color w:val="FF0000"/>
        </w:rPr>
        <w:t>Moran’s</w:t>
      </w:r>
      <w:proofErr w:type="gramEnd"/>
      <w:r>
        <w:rPr>
          <w:rFonts w:eastAsia="Times New Roman" w:cs="Arial"/>
          <w:color w:val="FF0000"/>
        </w:rPr>
        <w:t xml:space="preserve"> I?</w:t>
      </w:r>
    </w:p>
    <w:p w14:paraId="4DB59910" w14:textId="209BE50B" w:rsidR="00264F43" w:rsidRDefault="00264F43" w:rsidP="00CC3D80">
      <w:pPr>
        <w:shd w:val="clear" w:color="auto" w:fill="FFFFFF"/>
        <w:spacing w:after="0" w:line="240" w:lineRule="auto"/>
        <w:rPr>
          <w:rFonts w:eastAsia="Times New Roman" w:cs="Arial"/>
          <w:color w:val="FF0000"/>
        </w:rPr>
      </w:pPr>
      <w:r>
        <w:rPr>
          <w:rFonts w:eastAsia="Times New Roman" w:cs="Arial"/>
          <w:color w:val="FF0000"/>
        </w:rPr>
        <w:t xml:space="preserve">Good question. What </w:t>
      </w:r>
      <w:proofErr w:type="gramStart"/>
      <w:r>
        <w:rPr>
          <w:rFonts w:eastAsia="Times New Roman" w:cs="Arial"/>
          <w:color w:val="FF0000"/>
        </w:rPr>
        <w:t>is the criteria</w:t>
      </w:r>
      <w:proofErr w:type="gramEnd"/>
      <w:r>
        <w:rPr>
          <w:rFonts w:eastAsia="Times New Roman" w:cs="Arial"/>
          <w:color w:val="FF0000"/>
        </w:rPr>
        <w:t xml:space="preserve"> to decide whether to weight cities in the same state or cities closer but in different states? Would we have to write out our own linear combination that gives an optimal result? How would we do that?</w:t>
      </w:r>
    </w:p>
    <w:p w14:paraId="17AE9AA9" w14:textId="77777777" w:rsidR="00264F43" w:rsidRDefault="00264F43" w:rsidP="00CC3D80">
      <w:pPr>
        <w:shd w:val="clear" w:color="auto" w:fill="FFFFFF"/>
        <w:spacing w:after="0" w:line="240" w:lineRule="auto"/>
        <w:rPr>
          <w:rFonts w:eastAsia="Times New Roman" w:cs="Arial"/>
          <w:color w:val="FF0000"/>
        </w:rPr>
      </w:pPr>
    </w:p>
    <w:p w14:paraId="206FF9B2" w14:textId="77777777" w:rsidR="00264F43" w:rsidRPr="00264F43" w:rsidRDefault="00264F43" w:rsidP="00CC3D80">
      <w:pPr>
        <w:shd w:val="clear" w:color="auto" w:fill="FFFFFF"/>
        <w:spacing w:after="0" w:line="240" w:lineRule="auto"/>
        <w:rPr>
          <w:rFonts w:eastAsia="Times New Roman" w:cs="Arial"/>
          <w:color w:val="FF0000"/>
        </w:rPr>
      </w:pPr>
    </w:p>
    <w:p w14:paraId="2AD1CD16" w14:textId="77777777" w:rsidR="00264F43" w:rsidRPr="00CC3D80" w:rsidRDefault="00264F43" w:rsidP="00CC3D80">
      <w:pPr>
        <w:shd w:val="clear" w:color="auto" w:fill="FFFFFF"/>
        <w:spacing w:after="0" w:line="240" w:lineRule="auto"/>
        <w:rPr>
          <w:rFonts w:eastAsia="Times New Roman" w:cs="Arial"/>
          <w:color w:val="222222"/>
        </w:rPr>
      </w:pPr>
    </w:p>
    <w:p w14:paraId="7236AAB5" w14:textId="77777777" w:rsidR="00CC3D80" w:rsidRDefault="00CC3D80" w:rsidP="00CC3D80">
      <w:pPr>
        <w:shd w:val="clear" w:color="auto" w:fill="FFFFFF"/>
        <w:spacing w:after="0" w:line="240" w:lineRule="auto"/>
        <w:rPr>
          <w:rFonts w:eastAsia="Times New Roman" w:cs="Arial"/>
          <w:color w:val="222222"/>
        </w:rPr>
      </w:pPr>
      <w:r w:rsidRPr="00CC3D80">
        <w:rPr>
          <w:rFonts w:eastAsia="Times New Roman" w:cs="Arial"/>
          <w:color w:val="222222"/>
        </w:rPr>
        <w:lastRenderedPageBreak/>
        <w:t xml:space="preserve">3. </w:t>
      </w:r>
      <w:r w:rsidRPr="00780E8D">
        <w:rPr>
          <w:rFonts w:eastAsia="Times New Roman" w:cs="Arial"/>
          <w:color w:val="222222"/>
        </w:rPr>
        <w:t xml:space="preserve">Do </w:t>
      </w:r>
      <w:r w:rsidRPr="00CC3D80">
        <w:rPr>
          <w:rFonts w:eastAsia="Times New Roman" w:cs="Arial"/>
          <w:color w:val="222222"/>
        </w:rPr>
        <w:t>we have all the needed</w:t>
      </w:r>
      <w:r w:rsidRPr="00780E8D">
        <w:rPr>
          <w:rFonts w:eastAsia="Times New Roman" w:cs="Arial"/>
          <w:color w:val="222222"/>
        </w:rPr>
        <w:t xml:space="preserve"> and relevant covariates? M</w:t>
      </w:r>
      <w:r w:rsidRPr="00CC3D80">
        <w:rPr>
          <w:rFonts w:eastAsia="Times New Roman" w:cs="Arial"/>
          <w:color w:val="222222"/>
        </w:rPr>
        <w:t>ay need to be ready to get any missing ones.</w:t>
      </w:r>
    </w:p>
    <w:p w14:paraId="02CAF344" w14:textId="77777777" w:rsidR="00264F43" w:rsidRDefault="00264F43" w:rsidP="00CC3D80">
      <w:pPr>
        <w:shd w:val="clear" w:color="auto" w:fill="FFFFFF"/>
        <w:spacing w:after="0" w:line="240" w:lineRule="auto"/>
        <w:rPr>
          <w:rFonts w:eastAsia="Times New Roman" w:cs="Arial"/>
          <w:color w:val="222222"/>
        </w:rPr>
      </w:pPr>
    </w:p>
    <w:p w14:paraId="3EE323C3" w14:textId="2ADFC231" w:rsidR="00264F43" w:rsidRPr="00264F43" w:rsidRDefault="00264F43" w:rsidP="00CC3D80">
      <w:pPr>
        <w:shd w:val="clear" w:color="auto" w:fill="FFFFFF"/>
        <w:spacing w:after="0" w:line="240" w:lineRule="auto"/>
        <w:rPr>
          <w:rFonts w:eastAsia="Times New Roman" w:cs="Arial"/>
          <w:color w:val="FF0000"/>
        </w:rPr>
      </w:pPr>
      <w:r>
        <w:rPr>
          <w:rFonts w:eastAsia="Times New Roman" w:cs="Arial"/>
          <w:color w:val="FF0000"/>
        </w:rPr>
        <w:t>More variable scoping!</w:t>
      </w:r>
    </w:p>
    <w:p w14:paraId="363FD5AB" w14:textId="77777777" w:rsidR="00CC3D80" w:rsidRPr="00CC3D80" w:rsidRDefault="00CC3D80" w:rsidP="00CC3D80">
      <w:pPr>
        <w:shd w:val="clear" w:color="auto" w:fill="FFFFFF"/>
        <w:spacing w:after="0" w:line="240" w:lineRule="auto"/>
        <w:rPr>
          <w:rFonts w:ascii="Arial" w:eastAsia="Times New Roman" w:hAnsi="Arial" w:cs="Arial"/>
          <w:color w:val="222222"/>
          <w:sz w:val="19"/>
          <w:szCs w:val="19"/>
        </w:rPr>
      </w:pPr>
    </w:p>
    <w:p w14:paraId="49F4DAF6" w14:textId="77777777" w:rsidR="00CC3D80" w:rsidRDefault="00CC3D80" w:rsidP="00CC3D80">
      <w:pPr>
        <w:shd w:val="clear" w:color="auto" w:fill="FFFFFF"/>
        <w:spacing w:after="0" w:line="240" w:lineRule="auto"/>
        <w:rPr>
          <w:rFonts w:eastAsia="Times New Roman" w:cs="Arial"/>
          <w:color w:val="222222"/>
        </w:rPr>
      </w:pPr>
      <w:r w:rsidRPr="00CC3D80">
        <w:rPr>
          <w:rFonts w:eastAsia="Times New Roman" w:cs="Arial"/>
          <w:color w:val="222222"/>
        </w:rPr>
        <w:t>4.</w:t>
      </w:r>
      <w:r w:rsidRPr="00780E8D">
        <w:rPr>
          <w:rFonts w:eastAsia="Times New Roman" w:cs="Arial"/>
          <w:color w:val="222222"/>
        </w:rPr>
        <w:t xml:space="preserve"> Political scientists use a dyads analysis, but that may not make sense here. Still, we believe it makes sense </w:t>
      </w:r>
      <w:r w:rsidRPr="00CC3D80">
        <w:rPr>
          <w:rFonts w:eastAsia="Times New Roman" w:cs="Arial"/>
          <w:color w:val="222222"/>
        </w:rPr>
        <w:t>to include all counties in the at-risk dataset, with cities/counties dropping out when they adopt T21.</w:t>
      </w:r>
    </w:p>
    <w:p w14:paraId="65298DD1" w14:textId="77777777" w:rsidR="00264F43" w:rsidRDefault="00264F43" w:rsidP="00CC3D80">
      <w:pPr>
        <w:shd w:val="clear" w:color="auto" w:fill="FFFFFF"/>
        <w:spacing w:after="0" w:line="240" w:lineRule="auto"/>
        <w:rPr>
          <w:rFonts w:eastAsia="Times New Roman" w:cs="Arial"/>
          <w:color w:val="222222"/>
        </w:rPr>
      </w:pPr>
    </w:p>
    <w:p w14:paraId="063277BA" w14:textId="5927C428" w:rsidR="00264F43" w:rsidRPr="00264F43" w:rsidRDefault="00264F43" w:rsidP="00CC3D80">
      <w:pPr>
        <w:shd w:val="clear" w:color="auto" w:fill="FFFFFF"/>
        <w:spacing w:after="0" w:line="240" w:lineRule="auto"/>
        <w:rPr>
          <w:rFonts w:eastAsia="Times New Roman" w:cs="Arial"/>
          <w:color w:val="FF0000"/>
        </w:rPr>
      </w:pPr>
      <w:r>
        <w:rPr>
          <w:rFonts w:eastAsia="Times New Roman" w:cs="Arial"/>
          <w:color w:val="FF0000"/>
        </w:rPr>
        <w:t xml:space="preserve">We want to see which cities drop out of at risk data set after adopting T21. However, what is the timeline we are looking at? Are we going to see what cities are dropping out at what time </w:t>
      </w:r>
      <w:proofErr w:type="gramStart"/>
      <w:r>
        <w:rPr>
          <w:rFonts w:eastAsia="Times New Roman" w:cs="Arial"/>
          <w:color w:val="FF0000"/>
        </w:rPr>
        <w:t>line ?</w:t>
      </w:r>
      <w:proofErr w:type="gramEnd"/>
      <w:r>
        <w:rPr>
          <w:rFonts w:eastAsia="Times New Roman" w:cs="Arial"/>
          <w:color w:val="FF0000"/>
        </w:rPr>
        <w:t xml:space="preserve"> What analysis would we conduct in this?</w:t>
      </w:r>
    </w:p>
    <w:p w14:paraId="5180E10A" w14:textId="77777777" w:rsidR="00CC3D80" w:rsidRPr="00CC3D80" w:rsidRDefault="00CC3D80" w:rsidP="00CC3D80">
      <w:pPr>
        <w:shd w:val="clear" w:color="auto" w:fill="FFFFFF"/>
        <w:spacing w:after="0" w:line="240" w:lineRule="auto"/>
        <w:rPr>
          <w:rFonts w:eastAsia="Times New Roman" w:cs="Arial"/>
          <w:color w:val="222222"/>
        </w:rPr>
      </w:pPr>
    </w:p>
    <w:p w14:paraId="58461605" w14:textId="77777777" w:rsidR="00CC3D80" w:rsidRDefault="00CC3D80" w:rsidP="00CC3D80">
      <w:pPr>
        <w:shd w:val="clear" w:color="auto" w:fill="FFFFFF"/>
        <w:spacing w:after="0" w:line="240" w:lineRule="auto"/>
        <w:rPr>
          <w:rFonts w:eastAsia="Times New Roman" w:cs="Arial"/>
          <w:color w:val="222222"/>
        </w:rPr>
      </w:pPr>
      <w:r w:rsidRPr="00CC3D80">
        <w:rPr>
          <w:rFonts w:eastAsia="Times New Roman" w:cs="Arial"/>
          <w:color w:val="222222"/>
        </w:rPr>
        <w:t xml:space="preserve">5. </w:t>
      </w:r>
      <w:r w:rsidRPr="00780E8D">
        <w:rPr>
          <w:rFonts w:eastAsia="Times New Roman" w:cs="Arial"/>
          <w:color w:val="222222"/>
        </w:rPr>
        <w:t xml:space="preserve">Might want to include </w:t>
      </w:r>
      <w:r w:rsidRPr="00CC3D80">
        <w:rPr>
          <w:rFonts w:eastAsia="Times New Roman" w:cs="Arial"/>
          <w:color w:val="222222"/>
        </w:rPr>
        <w:t xml:space="preserve">some specific dates as dummies </w:t>
      </w:r>
      <w:r w:rsidRPr="00780E8D">
        <w:rPr>
          <w:rFonts w:eastAsia="Times New Roman" w:cs="Arial"/>
          <w:color w:val="222222"/>
        </w:rPr>
        <w:t>– such as the p</w:t>
      </w:r>
      <w:r w:rsidRPr="00CC3D80">
        <w:rPr>
          <w:rFonts w:eastAsia="Times New Roman" w:cs="Arial"/>
          <w:color w:val="222222"/>
        </w:rPr>
        <w:t xml:space="preserve">ublication of the IOM report. </w:t>
      </w:r>
    </w:p>
    <w:p w14:paraId="659D051A" w14:textId="77777777" w:rsidR="00264F43" w:rsidRDefault="00264F43" w:rsidP="00CC3D80">
      <w:pPr>
        <w:shd w:val="clear" w:color="auto" w:fill="FFFFFF"/>
        <w:spacing w:after="0" w:line="240" w:lineRule="auto"/>
        <w:rPr>
          <w:rFonts w:eastAsia="Times New Roman" w:cs="Arial"/>
          <w:color w:val="222222"/>
        </w:rPr>
      </w:pPr>
    </w:p>
    <w:p w14:paraId="53D996BA" w14:textId="6A4B4DC9" w:rsidR="00264F43" w:rsidRPr="00264F43" w:rsidRDefault="00264F43" w:rsidP="00CC3D80">
      <w:pPr>
        <w:shd w:val="clear" w:color="auto" w:fill="FFFFFF"/>
        <w:spacing w:after="0" w:line="240" w:lineRule="auto"/>
        <w:rPr>
          <w:rFonts w:eastAsia="Times New Roman" w:cs="Arial"/>
          <w:color w:val="FF0000"/>
        </w:rPr>
      </w:pPr>
      <w:r w:rsidRPr="00264F43">
        <w:rPr>
          <w:rFonts w:eastAsia="Times New Roman" w:cs="Arial"/>
          <w:color w:val="FF0000"/>
        </w:rPr>
        <w:t>Where do we get this IOM report</w:t>
      </w:r>
      <w:r>
        <w:rPr>
          <w:rFonts w:eastAsia="Times New Roman" w:cs="Arial"/>
          <w:color w:val="FF0000"/>
        </w:rPr>
        <w:t>?</w:t>
      </w:r>
    </w:p>
    <w:p w14:paraId="13C7B268" w14:textId="77777777" w:rsidR="00CC3D80" w:rsidRPr="00780E8D" w:rsidRDefault="00CC3D80" w:rsidP="00CC3D80">
      <w:pPr>
        <w:shd w:val="clear" w:color="auto" w:fill="FFFFFF"/>
        <w:spacing w:after="0" w:line="240" w:lineRule="auto"/>
        <w:rPr>
          <w:rFonts w:eastAsia="Times New Roman" w:cs="Arial"/>
          <w:color w:val="222222"/>
        </w:rPr>
      </w:pPr>
    </w:p>
    <w:p w14:paraId="6F140B88" w14:textId="77777777" w:rsidR="00CC3D80" w:rsidRPr="00CC3D80" w:rsidRDefault="00CC3D80" w:rsidP="00CC3D80">
      <w:pPr>
        <w:shd w:val="clear" w:color="auto" w:fill="FFFFFF"/>
        <w:spacing w:after="0" w:line="240" w:lineRule="auto"/>
        <w:rPr>
          <w:rFonts w:eastAsia="Times New Roman" w:cs="Arial"/>
          <w:color w:val="222222"/>
        </w:rPr>
      </w:pPr>
      <w:r w:rsidRPr="00780E8D">
        <w:rPr>
          <w:rFonts w:eastAsia="Times New Roman" w:cs="Arial"/>
          <w:color w:val="222222"/>
        </w:rPr>
        <w:t>6. At least one state, Florida, moved to pre-empt localities from enacting T21 laws. How should this be handled?</w:t>
      </w:r>
    </w:p>
    <w:p w14:paraId="6F0B52BF" w14:textId="77777777" w:rsidR="00CC3D80" w:rsidRDefault="00CC3D80" w:rsidP="00CC3D80">
      <w:pPr>
        <w:shd w:val="clear" w:color="auto" w:fill="FFFFFF"/>
        <w:spacing w:after="0" w:line="240" w:lineRule="auto"/>
        <w:rPr>
          <w:rFonts w:ascii="Arial" w:eastAsia="Times New Roman" w:hAnsi="Arial" w:cs="Arial"/>
          <w:color w:val="222222"/>
          <w:sz w:val="19"/>
          <w:szCs w:val="19"/>
        </w:rPr>
      </w:pPr>
    </w:p>
    <w:p w14:paraId="65F40676" w14:textId="5DA8D307" w:rsidR="00264F43" w:rsidRPr="00264F43" w:rsidRDefault="00264F43" w:rsidP="00CC3D80">
      <w:pPr>
        <w:shd w:val="clear" w:color="auto" w:fill="FFFFFF"/>
        <w:spacing w:after="0" w:line="240" w:lineRule="auto"/>
        <w:rPr>
          <w:rFonts w:ascii="Arial" w:eastAsia="Times New Roman" w:hAnsi="Arial" w:cs="Arial"/>
          <w:color w:val="FF0000"/>
          <w:sz w:val="19"/>
          <w:szCs w:val="19"/>
        </w:rPr>
      </w:pPr>
      <w:r>
        <w:rPr>
          <w:rFonts w:ascii="Arial" w:eastAsia="Times New Roman" w:hAnsi="Arial" w:cs="Arial"/>
          <w:color w:val="FF0000"/>
          <w:sz w:val="19"/>
          <w:szCs w:val="19"/>
        </w:rPr>
        <w:t>Florida has a big Tobacco lobby?</w:t>
      </w:r>
    </w:p>
    <w:p w14:paraId="6B13A1C7" w14:textId="77777777" w:rsidR="00B41C32" w:rsidRDefault="00B41C32" w:rsidP="00CC3D80"/>
    <w:p w14:paraId="6B324CF2" w14:textId="03BED149" w:rsidR="00B41C32" w:rsidRDefault="00B41C32" w:rsidP="00CC3D80">
      <w:pPr>
        <w:rPr>
          <w:color w:val="FF0000"/>
        </w:rPr>
      </w:pPr>
      <w:r w:rsidRPr="00B41C32">
        <w:rPr>
          <w:color w:val="FF0000"/>
        </w:rPr>
        <w:t>Big Question</w:t>
      </w:r>
    </w:p>
    <w:p w14:paraId="4A6F8A40" w14:textId="55B6AEA7" w:rsidR="00B41C32" w:rsidRDefault="00B41C32" w:rsidP="00B41C32">
      <w:pPr>
        <w:pStyle w:val="ListParagraph"/>
        <w:numPr>
          <w:ilvl w:val="0"/>
          <w:numId w:val="2"/>
        </w:numPr>
        <w:rPr>
          <w:color w:val="FF0000"/>
        </w:rPr>
      </w:pPr>
      <w:r>
        <w:rPr>
          <w:color w:val="FF0000"/>
        </w:rPr>
        <w:t>Do we really want to control all these variables?</w:t>
      </w:r>
    </w:p>
    <w:p w14:paraId="636285DF" w14:textId="77777777" w:rsidR="00B41C32" w:rsidRPr="00B41C32" w:rsidRDefault="00B41C32" w:rsidP="00B41C32">
      <w:pPr>
        <w:pStyle w:val="ListParagraph"/>
        <w:numPr>
          <w:ilvl w:val="0"/>
          <w:numId w:val="2"/>
        </w:numPr>
        <w:rPr>
          <w:color w:val="FF0000"/>
        </w:rPr>
      </w:pPr>
      <w:bookmarkStart w:id="0" w:name="_GoBack"/>
      <w:bookmarkEnd w:id="0"/>
    </w:p>
    <w:sectPr w:rsidR="00B41C32" w:rsidRPr="00B41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86A3A"/>
    <w:multiLevelType w:val="hybridMultilevel"/>
    <w:tmpl w:val="53B81E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1709F9"/>
    <w:multiLevelType w:val="hybridMultilevel"/>
    <w:tmpl w:val="81F4F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D80"/>
    <w:rsid w:val="002462C9"/>
    <w:rsid w:val="00264F43"/>
    <w:rsid w:val="005F21CA"/>
    <w:rsid w:val="006447CB"/>
    <w:rsid w:val="00780E8D"/>
    <w:rsid w:val="00B41C32"/>
    <w:rsid w:val="00C84BED"/>
    <w:rsid w:val="00CC3D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DD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2C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2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744752">
      <w:bodyDiv w:val="1"/>
      <w:marLeft w:val="0"/>
      <w:marRight w:val="0"/>
      <w:marTop w:val="0"/>
      <w:marBottom w:val="0"/>
      <w:divBdr>
        <w:top w:val="none" w:sz="0" w:space="0" w:color="auto"/>
        <w:left w:val="none" w:sz="0" w:space="0" w:color="auto"/>
        <w:bottom w:val="none" w:sz="0" w:space="0" w:color="auto"/>
        <w:right w:val="none" w:sz="0" w:space="0" w:color="auto"/>
      </w:divBdr>
    </w:div>
    <w:div w:id="677587801">
      <w:bodyDiv w:val="1"/>
      <w:marLeft w:val="0"/>
      <w:marRight w:val="0"/>
      <w:marTop w:val="0"/>
      <w:marBottom w:val="0"/>
      <w:divBdr>
        <w:top w:val="none" w:sz="0" w:space="0" w:color="auto"/>
        <w:left w:val="none" w:sz="0" w:space="0" w:color="auto"/>
        <w:bottom w:val="none" w:sz="0" w:space="0" w:color="auto"/>
        <w:right w:val="none" w:sz="0" w:space="0" w:color="auto"/>
      </w:divBdr>
      <w:divsChild>
        <w:div w:id="1005202861">
          <w:marLeft w:val="0"/>
          <w:marRight w:val="0"/>
          <w:marTop w:val="0"/>
          <w:marBottom w:val="0"/>
          <w:divBdr>
            <w:top w:val="none" w:sz="0" w:space="0" w:color="auto"/>
            <w:left w:val="none" w:sz="0" w:space="0" w:color="auto"/>
            <w:bottom w:val="none" w:sz="0" w:space="0" w:color="auto"/>
            <w:right w:val="none" w:sz="0" w:space="0" w:color="auto"/>
          </w:divBdr>
        </w:div>
        <w:div w:id="1687831875">
          <w:marLeft w:val="0"/>
          <w:marRight w:val="0"/>
          <w:marTop w:val="0"/>
          <w:marBottom w:val="0"/>
          <w:divBdr>
            <w:top w:val="none" w:sz="0" w:space="0" w:color="auto"/>
            <w:left w:val="none" w:sz="0" w:space="0" w:color="auto"/>
            <w:bottom w:val="none" w:sz="0" w:space="0" w:color="auto"/>
            <w:right w:val="none" w:sz="0" w:space="0" w:color="auto"/>
          </w:divBdr>
        </w:div>
        <w:div w:id="840393573">
          <w:marLeft w:val="0"/>
          <w:marRight w:val="0"/>
          <w:marTop w:val="0"/>
          <w:marBottom w:val="0"/>
          <w:divBdr>
            <w:top w:val="none" w:sz="0" w:space="0" w:color="auto"/>
            <w:left w:val="none" w:sz="0" w:space="0" w:color="auto"/>
            <w:bottom w:val="none" w:sz="0" w:space="0" w:color="auto"/>
            <w:right w:val="none" w:sz="0" w:space="0" w:color="auto"/>
          </w:divBdr>
        </w:div>
        <w:div w:id="1016537809">
          <w:marLeft w:val="0"/>
          <w:marRight w:val="0"/>
          <w:marTop w:val="0"/>
          <w:marBottom w:val="0"/>
          <w:divBdr>
            <w:top w:val="none" w:sz="0" w:space="0" w:color="auto"/>
            <w:left w:val="none" w:sz="0" w:space="0" w:color="auto"/>
            <w:bottom w:val="none" w:sz="0" w:space="0" w:color="auto"/>
            <w:right w:val="none" w:sz="0" w:space="0" w:color="auto"/>
          </w:divBdr>
        </w:div>
        <w:div w:id="1111974347">
          <w:marLeft w:val="0"/>
          <w:marRight w:val="0"/>
          <w:marTop w:val="0"/>
          <w:marBottom w:val="0"/>
          <w:divBdr>
            <w:top w:val="none" w:sz="0" w:space="0" w:color="auto"/>
            <w:left w:val="none" w:sz="0" w:space="0" w:color="auto"/>
            <w:bottom w:val="none" w:sz="0" w:space="0" w:color="auto"/>
            <w:right w:val="none" w:sz="0" w:space="0" w:color="auto"/>
          </w:divBdr>
        </w:div>
        <w:div w:id="1068528541">
          <w:marLeft w:val="0"/>
          <w:marRight w:val="0"/>
          <w:marTop w:val="0"/>
          <w:marBottom w:val="0"/>
          <w:divBdr>
            <w:top w:val="none" w:sz="0" w:space="0" w:color="auto"/>
            <w:left w:val="none" w:sz="0" w:space="0" w:color="auto"/>
            <w:bottom w:val="none" w:sz="0" w:space="0" w:color="auto"/>
            <w:right w:val="none" w:sz="0" w:space="0" w:color="auto"/>
          </w:divBdr>
        </w:div>
        <w:div w:id="186404850">
          <w:marLeft w:val="0"/>
          <w:marRight w:val="0"/>
          <w:marTop w:val="0"/>
          <w:marBottom w:val="0"/>
          <w:divBdr>
            <w:top w:val="none" w:sz="0" w:space="0" w:color="auto"/>
            <w:left w:val="none" w:sz="0" w:space="0" w:color="auto"/>
            <w:bottom w:val="none" w:sz="0" w:space="0" w:color="auto"/>
            <w:right w:val="none" w:sz="0" w:space="0" w:color="auto"/>
          </w:divBdr>
        </w:div>
        <w:div w:id="479275151">
          <w:marLeft w:val="0"/>
          <w:marRight w:val="0"/>
          <w:marTop w:val="0"/>
          <w:marBottom w:val="0"/>
          <w:divBdr>
            <w:top w:val="none" w:sz="0" w:space="0" w:color="auto"/>
            <w:left w:val="none" w:sz="0" w:space="0" w:color="auto"/>
            <w:bottom w:val="none" w:sz="0" w:space="0" w:color="auto"/>
            <w:right w:val="none" w:sz="0" w:space="0" w:color="auto"/>
          </w:divBdr>
        </w:div>
        <w:div w:id="214120180">
          <w:marLeft w:val="0"/>
          <w:marRight w:val="0"/>
          <w:marTop w:val="0"/>
          <w:marBottom w:val="0"/>
          <w:divBdr>
            <w:top w:val="none" w:sz="0" w:space="0" w:color="auto"/>
            <w:left w:val="none" w:sz="0" w:space="0" w:color="auto"/>
            <w:bottom w:val="none" w:sz="0" w:space="0" w:color="auto"/>
            <w:right w:val="none" w:sz="0" w:space="0" w:color="auto"/>
          </w:divBdr>
        </w:div>
        <w:div w:id="1316761161">
          <w:marLeft w:val="0"/>
          <w:marRight w:val="0"/>
          <w:marTop w:val="0"/>
          <w:marBottom w:val="0"/>
          <w:divBdr>
            <w:top w:val="none" w:sz="0" w:space="0" w:color="auto"/>
            <w:left w:val="none" w:sz="0" w:space="0" w:color="auto"/>
            <w:bottom w:val="none" w:sz="0" w:space="0" w:color="auto"/>
            <w:right w:val="none" w:sz="0" w:space="0" w:color="auto"/>
          </w:divBdr>
        </w:div>
        <w:div w:id="1025132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868</Words>
  <Characters>4951</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Silver</dc:creator>
  <cp:keywords/>
  <dc:description/>
  <cp:lastModifiedBy>Zarni Htet</cp:lastModifiedBy>
  <cp:revision>2</cp:revision>
  <dcterms:created xsi:type="dcterms:W3CDTF">2017-09-22T16:39:00Z</dcterms:created>
  <dcterms:modified xsi:type="dcterms:W3CDTF">2017-09-22T16:39:00Z</dcterms:modified>
</cp:coreProperties>
</file>