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Georgia" w:cs="Georgia" w:eastAsia="Georgia" w:hAnsi="Georgia"/>
          <w:b/>
          <w:bCs/>
          <w:color w:val="1A1A1A"/>
          <w:sz w:val="72"/>
          <w:szCs w:val="72"/>
        </w:rPr>
        <w:t xml:space="preserve">FaucetChain</w:t>
      </w:r>
    </w:p>
    <w:p>
      <w:pPr>
        <w:spacing w:after="1400"/>
        <w:jc w:val="center"/>
      </w:pPr>
      <w:r>
        <w:rPr>
          <w:rFonts w:ascii="Georgia" w:cs="Georgia" w:eastAsia="Georgia" w:hAnsi="Georgia"/>
          <w:color w:val="5A5A5A"/>
          <w:sz w:val="30"/>
          <w:szCs w:val="30"/>
        </w:rPr>
        <w:t xml:space="preserve">Micro-distribution that settles on Solana</w:t>
      </w:r>
    </w:p>
    <w:p>
      <w:pPr>
        <w:spacing w:after="120"/>
        <w:jc w:val="center"/>
      </w:pPr>
      <w:r>
        <w:rPr>
          <w:rFonts w:ascii="Georgia" w:cs="Georgia" w:eastAsia="Georgia" w:hAnsi="Georgia"/>
          <w:color w:val="5A5A5A"/>
          <w:sz w:val="22"/>
          <w:szCs w:val="22"/>
        </w:rPr>
        <w:t xml:space="preserve">Version 2.1  ·  revised 8 October 2026</w:t>
      </w:r>
    </w:p>
    <w:p>
      <w:pPr>
        <w:spacing w:after="1200"/>
        <w:jc w:val="center"/>
      </w:pPr>
      <w:r>
        <w:rPr>
          <w:rFonts w:ascii="Georgia" w:cs="Georgia" w:eastAsia="Georgia" w:hAnsi="Georgia"/>
          <w:color w:val="5A5A5A"/>
          <w:sz w:val="22"/>
          <w:szCs w:val="22"/>
        </w:rPr>
        <w:t xml:space="preserve">Supersedes the March 2026 paper</w:t>
      </w:r>
    </w:p>
    <w:p>
      <w:pPr>
        <w:spacing w:after="0" w:line="280"/>
        <w:ind w:left="900" w:right="900"/>
        <w:jc w:val="center"/>
      </w:pPr>
      <w:r>
        <w:rPr>
          <w:rFonts w:ascii="Georgia" w:cs="Georgia" w:eastAsia="Georgia" w:hAnsi="Georgia"/>
          <w:color w:val="5A5A5A"/>
          <w:sz w:val="20"/>
          <w:szCs w:val="20"/>
        </w:rPr>
        <w:t xml:space="preserve">Every figure in this paper was read from the chain or the ledger on the date above. Section 11 records what earlier versions of it got wrong.</w:t>
      </w:r>
    </w:p>
    <w:p>
      <w:r>
        <w:br w:type="page"/>
      </w:r>
    </w:p>
    <w:p>
      <w:pPr>
        <w:pStyle w:val="Heading1"/>
        <w:pBdr>
          <w:bottom w:val="single" w:color="D4D4D4" w:sz="6" w:space="8"/>
        </w:pBdr>
        <w:spacing w:after="200" w:before="420"/>
      </w:pPr>
      <w:r>
        <w:rPr>
          <w:rFonts w:ascii="Georgia" w:cs="Georgia" w:eastAsia="Georgia" w:hAnsi="Georgia"/>
          <w:b/>
          <w:bCs/>
          <w:color w:val="1A1A1A"/>
          <w:sz w:val="30"/>
          <w:szCs w:val="30"/>
        </w:rPr>
        <w:t xml:space="preserve">1. What this is</w:t>
      </w:r>
    </w:p>
    <w:p>
      <w:pPr>
        <w:spacing w:after="160" w:line="300"/>
        <w:jc w:val="both"/>
      </w:pPr>
      <w:r>
        <w:rPr>
          <w:rFonts w:ascii="Georgia" w:cs="Georgia" w:eastAsia="Georgia" w:hAnsi="Georgia"/>
        </w:rPr>
        <w:t xml:space="preserve">Faucets pay people tiny amounts for small actions. The economics only work if each payout costs almost nothing to make, which is why every large faucet platform ends up as a private ledger: an internal balance you are told you have, paid out when and if the operator decides.</w:t>
      </w:r>
    </w:p>
    <w:p>
      <w:pPr>
        <w:spacing w:after="160" w:line="300"/>
        <w:jc w:val="both"/>
      </w:pPr>
      <w:r>
        <w:rPr>
          <w:rFonts w:ascii="Georgia" w:cs="Georgia" w:eastAsia="Georgia" w:hAnsi="Georgia"/>
        </w:rPr>
        <w:t xml:space="preserve">That arrangement has one failure mode, and it is the only one that matters. A user can earn for weeks and discover at withdrawal that the money was never there. No amount of uptime or good intent fixes it, because nothing about the promise was ever checkable.</w:t>
      </w:r>
    </w:p>
    <w:p>
      <w:pPr>
        <w:spacing w:after="160" w:line="300"/>
        <w:jc w:val="both"/>
      </w:pPr>
      <w:r>
        <w:rPr>
          <w:rFonts w:ascii="Georgia" w:cs="Georgia" w:eastAsia="Georgia" w:hAnsi="Georgia"/>
        </w:rPr>
        <w:t xml:space="preserve">FaucetChain splits the problem in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val="clear"/>
            <w:tcMar>
              <w:top w:type="dxa" w:w="90"/>
              <w:left w:type="dxa" w:w="120"/>
              <w:bottom w:type="dxa" w:w="90"/>
              <w:right w:type="dxa" w:w="120"/>
            </w:tcMar>
          </w:tcPr>
          <w:p>
            <w:pPr>
              <w:spacing w:after="0" w:line="260"/>
            </w:pPr>
            <w:r>
              <w:rPr>
                <w:rFonts w:ascii="Georgia" w:cs="Georgia" w:eastAsia="Georgia" w:hAnsi="Georgia"/>
              </w:rPr>
              <w:t xml:space="preserve"/>
            </w:r>
          </w:p>
        </w:tc>
        <w:tc>
          <w:tcPr>
            <w:tcW w:type="dxa" w:w="3120"/>
            <w:shd w:fill="F2F2F2" w:val="clear"/>
            <w:tcMar>
              <w:top w:type="dxa" w:w="90"/>
              <w:left w:type="dxa" w:w="120"/>
              <w:bottom w:type="dxa" w:w="90"/>
              <w:right w:type="dxa" w:w="120"/>
            </w:tcMar>
          </w:tcPr>
          <w:p>
            <w:pPr>
              <w:spacing w:after="0" w:line="260"/>
            </w:pPr>
            <w:r>
              <w:rPr>
                <w:rFonts w:ascii="Georgia" w:cs="Georgia" w:eastAsia="Georgia" w:hAnsi="Georgia"/>
                <w:b/>
                <w:bCs/>
              </w:rPr>
              <w:t xml:space="preserve">The appchain</w:t>
            </w:r>
          </w:p>
        </w:tc>
        <w:tc>
          <w:tcPr>
            <w:tcW w:type="dxa" w:w="3120"/>
            <w:shd w:fill="F2F2F2" w:val="clear"/>
            <w:tcMar>
              <w:top w:type="dxa" w:w="90"/>
              <w:left w:type="dxa" w:w="120"/>
              <w:bottom w:type="dxa" w:w="90"/>
              <w:right w:type="dxa" w:w="120"/>
            </w:tcMar>
          </w:tcPr>
          <w:p>
            <w:pPr>
              <w:spacing w:after="0" w:line="260"/>
            </w:pPr>
            <w:r>
              <w:rPr>
                <w:rFonts w:ascii="Georgia" w:cs="Georgia" w:eastAsia="Georgia" w:hAnsi="Georgia"/>
                <w:b/>
                <w:bCs/>
              </w:rPr>
              <w:t xml:space="preserve">The Solana program</w:t>
            </w:r>
          </w:p>
        </w:tc>
      </w:tr>
      <w:tr>
        <w:trPr>
          <w:tblHeader w:val="off"/>
        </w:trPr>
        <w:tc>
          <w:tcPr>
            <w:tcW w:type="dxa" w:w="3120"/>
            <w:tcMar>
              <w:top w:type="dxa" w:w="90"/>
              <w:left w:type="dxa" w:w="120"/>
              <w:bottom w:type="dxa" w:w="90"/>
              <w:right w:type="dxa" w:w="120"/>
            </w:tcMar>
          </w:tcPr>
          <w:p>
            <w:pPr>
              <w:spacing w:after="0" w:line="260"/>
            </w:pPr>
            <w:r>
              <w:rPr>
                <w:rFonts w:ascii="Georgia" w:cs="Georgia" w:eastAsia="Georgia" w:hAnsi="Georgia"/>
              </w:rPr>
              <w:t xml:space="preserve">Handles</w:t>
            </w:r>
          </w:p>
        </w:tc>
        <w:tc>
          <w:tcPr>
            <w:tcW w:type="dxa" w:w="3120"/>
            <w:tcMar>
              <w:top w:type="dxa" w:w="90"/>
              <w:left w:type="dxa" w:w="120"/>
              <w:bottom w:type="dxa" w:w="90"/>
              <w:right w:type="dxa" w:w="120"/>
            </w:tcMar>
          </w:tcPr>
          <w:p>
            <w:pPr>
              <w:spacing w:after="0" w:line="260"/>
            </w:pPr>
            <w:r>
              <w:rPr>
                <w:rFonts w:ascii="Georgia" w:cs="Georgia" w:eastAsia="Georgia" w:hAnsi="Georgia"/>
              </w:rPr>
              <w:t xml:space="preserve">thousands of tiny claims an hour</w:t>
            </w:r>
          </w:p>
        </w:tc>
        <w:tc>
          <w:tcPr>
            <w:tcW w:type="dxa" w:w="3120"/>
            <w:tcMar>
              <w:top w:type="dxa" w:w="90"/>
              <w:left w:type="dxa" w:w="120"/>
              <w:bottom w:type="dxa" w:w="90"/>
              <w:right w:type="dxa" w:w="120"/>
            </w:tcMar>
          </w:tcPr>
          <w:p>
            <w:pPr>
              <w:spacing w:after="0" w:line="260"/>
            </w:pPr>
            <w:r>
              <w:rPr>
                <w:rFonts w:ascii="Georgia" w:cs="Georgia" w:eastAsia="Georgia" w:hAnsi="Georgia"/>
              </w:rPr>
              <w:t xml:space="preserve">custody of the budget and every payout</w:t>
            </w:r>
          </w:p>
        </w:tc>
      </w:tr>
      <w:tr>
        <w:trPr>
          <w:tblHeader w:val="off"/>
        </w:trPr>
        <w:tc>
          <w:tcPr>
            <w:tcW w:type="dxa" w:w="3120"/>
            <w:tcMar>
              <w:top w:type="dxa" w:w="90"/>
              <w:left w:type="dxa" w:w="120"/>
              <w:bottom w:type="dxa" w:w="90"/>
              <w:right w:type="dxa" w:w="120"/>
            </w:tcMar>
          </w:tcPr>
          <w:p>
            <w:pPr>
              <w:spacing w:after="0" w:line="260"/>
            </w:pPr>
            <w:r>
              <w:rPr>
                <w:rFonts w:ascii="Georgia" w:cs="Georgia" w:eastAsia="Georgia" w:hAnsi="Georgia"/>
              </w:rPr>
              <w:t xml:space="preserve">Cost per action</w:t>
            </w:r>
          </w:p>
        </w:tc>
        <w:tc>
          <w:tcPr>
            <w:tcW w:type="dxa" w:w="3120"/>
            <w:tcMar>
              <w:top w:type="dxa" w:w="90"/>
              <w:left w:type="dxa" w:w="120"/>
              <w:bottom w:type="dxa" w:w="90"/>
              <w:right w:type="dxa" w:w="120"/>
            </w:tcMar>
          </w:tcPr>
          <w:p>
            <w:pPr>
              <w:spacing w:after="0" w:line="260"/>
            </w:pPr>
            <w:r>
              <w:rPr>
                <w:rFonts w:ascii="Georgia" w:cs="Georgia" w:eastAsia="Georgia" w:hAnsi="Georgia"/>
              </w:rPr>
              <w:t xml:space="preserve">none</w:t>
            </w:r>
          </w:p>
        </w:tc>
        <w:tc>
          <w:tcPr>
            <w:tcW w:type="dxa" w:w="3120"/>
            <w:tcMar>
              <w:top w:type="dxa" w:w="90"/>
              <w:left w:type="dxa" w:w="120"/>
              <w:bottom w:type="dxa" w:w="90"/>
              <w:right w:type="dxa" w:w="120"/>
            </w:tcMar>
          </w:tcPr>
          <w:p>
            <w:pPr>
              <w:spacing w:after="0" w:line="260"/>
            </w:pPr>
            <w:r>
              <w:rPr>
                <w:rFonts w:ascii="Georgia" w:cs="Georgia" w:eastAsia="Georgia" w:hAnsi="Georgia"/>
              </w:rPr>
              <w:t xml:space="preserve">one transaction, paid by a relayer</w:t>
            </w:r>
          </w:p>
        </w:tc>
      </w:tr>
      <w:tr>
        <w:trPr>
          <w:tblHeader w:val="off"/>
        </w:trPr>
        <w:tc>
          <w:tcPr>
            <w:tcW w:type="dxa" w:w="3120"/>
            <w:tcMar>
              <w:top w:type="dxa" w:w="90"/>
              <w:left w:type="dxa" w:w="120"/>
              <w:bottom w:type="dxa" w:w="90"/>
              <w:right w:type="dxa" w:w="120"/>
            </w:tcMar>
          </w:tcPr>
          <w:p>
            <w:pPr>
              <w:spacing w:after="0" w:line="260"/>
            </w:pPr>
            <w:r>
              <w:rPr>
                <w:rFonts w:ascii="Georgia" w:cs="Georgia" w:eastAsia="Georgia" w:hAnsi="Georgia"/>
              </w:rPr>
              <w:t xml:space="preserve">Can be wrong about</w:t>
            </w:r>
          </w:p>
        </w:tc>
        <w:tc>
          <w:tcPr>
            <w:tcW w:type="dxa" w:w="3120"/>
            <w:tcMar>
              <w:top w:type="dxa" w:w="90"/>
              <w:left w:type="dxa" w:w="120"/>
              <w:bottom w:type="dxa" w:w="90"/>
              <w:right w:type="dxa" w:w="120"/>
            </w:tcMar>
          </w:tcPr>
          <w:p>
            <w:pPr>
              <w:spacing w:after="0" w:line="260"/>
            </w:pPr>
            <w:r>
              <w:rPr>
                <w:rFonts w:ascii="Georgia" w:cs="Georgia" w:eastAsia="Georgia" w:hAnsi="Georgia"/>
              </w:rPr>
              <w:t xml:space="preserve">who earned what</w:t>
            </w:r>
          </w:p>
        </w:tc>
        <w:tc>
          <w:tcPr>
            <w:tcW w:type="dxa" w:w="3120"/>
            <w:tcMar>
              <w:top w:type="dxa" w:w="90"/>
              <w:left w:type="dxa" w:w="120"/>
              <w:bottom w:type="dxa" w:w="90"/>
              <w:right w:type="dxa" w:w="120"/>
            </w:tcMar>
          </w:tcPr>
          <w:p>
            <w:pPr>
              <w:spacing w:after="0" w:line="260"/>
            </w:pPr>
            <w:r>
              <w:rPr>
                <w:rFonts w:ascii="Georgia" w:cs="Georgia" w:eastAsia="Georgia" w:hAnsi="Georgia"/>
              </w:rPr>
              <w:t xml:space="preserve">nothing it was not shown a proof for</w:t>
            </w:r>
          </w:p>
        </w:tc>
      </w:tr>
    </w:tbl>
    <w:p>
      <w:pPr>
        <w:spacing w:after="200"/>
      </w:pPr>
    </w:p>
    <w:p>
      <w:pPr>
        <w:spacing w:after="160" w:line="300"/>
        <w:jc w:val="both"/>
      </w:pPr>
      <w:r>
        <w:rPr>
          <w:rFonts w:ascii="Georgia" w:cs="Georgia" w:eastAsia="Georgia" w:hAnsi="Georgia"/>
        </w:rPr>
        <w:t xml:space="preserve">Distribution stays fast and free where it has to be. Custody moves to a public chain where anyone can check it. The only thing that crosses between them is a 32-byte Merkle root.</w:t>
      </w:r>
    </w:p>
    <w:p>
      <w:pPr>
        <w:spacing w:after="160" w:line="300"/>
        <w:jc w:val="both"/>
      </w:pPr>
      <w:r>
        <w:rPr>
          <w:rFonts w:ascii="Georgia" w:cs="Georgia" w:eastAsia="Georgia" w:hAnsi="Georgia"/>
        </w:rPr>
        <w:t xml:space="preserve">Partner funds never traverse a bridge. They enter a campaign vault on Solana and leave it to users. There is no wrapped asset, no custodian in the middle, and no message that mints anything if forged.</w:t>
      </w:r>
    </w:p>
    <w:p>
      <w:pPr>
        <w:pStyle w:val="Heading1"/>
        <w:pBdr>
          <w:bottom w:val="single" w:color="D4D4D4" w:sz="6" w:space="8"/>
        </w:pBdr>
        <w:spacing w:after="200" w:before="420"/>
      </w:pPr>
      <w:r>
        <w:rPr>
          <w:rFonts w:ascii="Georgia" w:cs="Georgia" w:eastAsia="Georgia" w:hAnsi="Georgia"/>
          <w:b/>
          <w:bCs/>
          <w:color w:val="1A1A1A"/>
          <w:sz w:val="30"/>
          <w:szCs w:val="30"/>
        </w:rPr>
        <w:t xml:space="preserve">2. Proof of Claim</w:t>
      </w:r>
    </w:p>
    <w:p>
      <w:pPr>
        <w:spacing w:after="160" w:line="300"/>
        <w:jc w:val="both"/>
      </w:pPr>
      <w:r>
        <w:rPr>
          <w:rFonts w:ascii="Georgia" w:cs="Georgia" w:eastAsia="Georgia" w:hAnsi="Georgia"/>
        </w:rPr>
        <w:t xml:space="preserve">Blocks are not mined by burning electricity or by the largest stake. They are produced by distribution actually happening.</w:t>
      </w:r>
    </w:p>
    <w:p>
      <w:pPr>
        <w:spacing w:after="160" w:line="300"/>
        <w:jc w:val="both"/>
      </w:pPr>
      <w:r>
        <w:rPr>
          <w:rFonts w:ascii="Georgia" w:cs="Georgia" w:eastAsia="Georgia" w:hAnsi="Georgia"/>
        </w:rPr>
        <w:t xml:space="preserve">A claim requires the browser to solve a small keccak puzzle before the server will record it. That does three things: it costs a real fraction of a second per claim, it makes automated farming cost the same as human use, and it ties block production to the thing the network exists to do.</w:t>
      </w:r>
    </w:p>
    <w:p>
      <w:pPr>
        <w:spacing w:after="160" w:line="300"/>
        <w:jc w:val="both"/>
      </w:pPr>
      <w:r>
        <w:rPr>
          <w:rFonts w:ascii="Georgia" w:cs="Georgia" w:eastAsia="Georgia" w:hAnsi="Georgia"/>
        </w:rPr>
        <w:t xml:space="preserve">The difficulty is not fixed. It rises as the hourly quota is consumed, so the cheapest claims of the hour go to whoever arrives first, and the last ones cost the most work. A second limit caps how many distinct wallets one IP address can claim to in an hour.</w:t>
      </w:r>
    </w:p>
    <w:p>
      <w:pPr>
        <w:spacing w:after="160" w:line="300"/>
        <w:jc w:val="both"/>
      </w:pPr>
      <w:r>
        <w:rPr>
          <w:rFonts w:ascii="Georgia" w:cs="Georgia" w:eastAsia="Georgia" w:hAnsi="Georgia"/>
        </w:rPr>
        <w:t xml:space="preserve">Neither of these is a deterrent in theory. Both are enforced in code and covered by tests that fail if the limit stops working.</w:t>
      </w:r>
    </w:p>
    <w:p>
      <w:pPr>
        <w:pStyle w:val="Heading1"/>
        <w:pBdr>
          <w:bottom w:val="single" w:color="D4D4D4" w:sz="6" w:space="8"/>
        </w:pBdr>
        <w:spacing w:after="200" w:before="420"/>
      </w:pPr>
      <w:r>
        <w:rPr>
          <w:rFonts w:ascii="Georgia" w:cs="Georgia" w:eastAsia="Georgia" w:hAnsi="Georgia"/>
          <w:b/>
          <w:bCs/>
          <w:color w:val="1A1A1A"/>
          <w:sz w:val="30"/>
          <w:szCs w:val="30"/>
        </w:rPr>
        <w:t xml:space="preserve">3. The hourly quota</w:t>
      </w:r>
    </w:p>
    <w:p>
      <w:pPr>
        <w:spacing w:after="160" w:line="300"/>
        <w:jc w:val="both"/>
      </w:pPr>
      <w:r>
        <w:rPr>
          <w:rFonts w:ascii="Georgia" w:cs="Georgia" w:eastAsia="Georgia" w:hAnsi="Georgia"/>
        </w:rPr>
        <w:t xml:space="preserve">The network releases at most </w:t>
      </w:r>
      <w:r>
        <w:rPr>
          <w:rFonts w:ascii="Georgia" w:cs="Georgia" w:eastAsia="Georgia" w:hAnsi="Georgia"/>
          <w:b/>
          <w:bCs/>
        </w:rPr>
        <w:t xml:space="preserve">2,000 $CLAIM per hour</w:t>
      </w:r>
      <w:r>
        <w:rPr>
          <w:rFonts w:ascii="Georgia" w:cs="Georgia" w:eastAsia="Georgia" w:hAnsi="Georgia"/>
        </w:rPr>
        <w:t xml:space="preserve"> across every faucet connected to it. When that is exhausted, claiming pauses until the next hour begins.</w:t>
      </w:r>
    </w:p>
    <w:p>
      <w:pPr>
        <w:spacing w:after="160" w:line="300"/>
        <w:jc w:val="both"/>
      </w:pPr>
      <w:r>
        <w:rPr>
          <w:rFonts w:ascii="Georgia" w:cs="Georgia" w:eastAsia="Georgia" w:hAnsi="Georgia"/>
        </w:rPr>
        <w:t xml:space="preserve">The purpose is inflation control and bot resistance: a hard ceiling means a botnet cannot drain a day's emission in ten minutes, and it makes the cost of attacking the network scale with time rather than with hardware.</w:t>
      </w:r>
    </w:p>
    <w:p>
      <w:pPr>
        <w:spacing w:after="160" w:line="300"/>
        <w:jc w:val="both"/>
      </w:pPr>
      <w:r>
        <w:rPr>
          <w:rFonts w:ascii="Georgia" w:cs="Georgia" w:eastAsia="Georgia" w:hAnsi="Georgia"/>
        </w:rPr>
        <w:t xml:space="preserve">The previous version of this paper described the pause as manufacturing scarcity and urgency for users. That was a bad reason and it has been dropped. The limit exists to make the emission schedule predictable and the network expensive to farm, not to pressure anyone into claiming faster.</w:t>
      </w:r>
    </w:p>
    <w:p>
      <w:pPr>
        <w:pStyle w:val="Heading1"/>
        <w:pBdr>
          <w:bottom w:val="single" w:color="D4D4D4" w:sz="6" w:space="8"/>
        </w:pBdr>
        <w:spacing w:after="200" w:before="420"/>
      </w:pPr>
      <w:r>
        <w:rPr>
          <w:rFonts w:ascii="Georgia" w:cs="Georgia" w:eastAsia="Georgia" w:hAnsi="Georgia"/>
          <w:b/>
          <w:bCs/>
          <w:color w:val="1A1A1A"/>
          <w:sz w:val="30"/>
          <w:szCs w:val="30"/>
        </w:rPr>
        <w:t xml:space="preserve">4. $CLAIM</w:t>
      </w:r>
    </w:p>
    <w:p>
      <w:pPr>
        <w:pStyle w:val="ListParagraph"/>
        <w:numPr>
          <w:ilvl w:val="0"/>
          <w:numId w:val="2"/>
        </w:numPr>
        <w:spacing w:after="120" w:line="300"/>
      </w:pPr>
      <w:r>
        <w:rPr>
          <w:rFonts w:ascii="Georgia" w:cs="Georgia" w:eastAsia="Georgia" w:hAnsi="Georgia"/>
          <w:b/>
          <w:bCs/>
        </w:rPr>
        <w:t xml:space="preserve">Fixed supply: 99,000,000.</w:t>
      </w:r>
      <w:r>
        <w:rPr>
          <w:rFonts w:ascii="Georgia" w:cs="Georgia" w:eastAsia="Georgia" w:hAnsi="Georgia"/>
        </w:rPr>
        <w:t xml:space="preserve"> No mechanism mints beyond it.</w:t>
      </w:r>
    </w:p>
    <w:p>
      <w:pPr>
        <w:pStyle w:val="ListParagraph"/>
        <w:numPr>
          <w:ilvl w:val="0"/>
          <w:numId w:val="2"/>
        </w:numPr>
        <w:spacing w:after="120" w:line="300"/>
      </w:pPr>
      <w:r>
        <w:rPr>
          <w:rFonts w:ascii="Georgia" w:cs="Georgia" w:eastAsia="Georgia" w:hAnsi="Georgia"/>
          <w:b/>
          <w:bCs/>
        </w:rPr>
        <w:t xml:space="preserve">No gas for users.</w:t>
      </w:r>
      <w:r>
        <w:rPr>
          <w:rFonts w:ascii="Georgia" w:cs="Georgia" w:eastAsia="Georgia" w:hAnsi="Georgia"/>
        </w:rPr>
        <w:t xml:space="preserve"> Claiming and receiving cost nothing on the appchain. Withdrawing to Solana costs a transaction fee, and a relayer pays it — a user holding zero SOL can still collect.</w:t>
      </w:r>
    </w:p>
    <w:p>
      <w:pPr>
        <w:pStyle w:val="ListParagraph"/>
        <w:numPr>
          <w:ilvl w:val="0"/>
          <w:numId w:val="2"/>
        </w:numPr>
        <w:spacing w:after="120" w:line="300"/>
      </w:pPr>
      <w:r>
        <w:rPr>
          <w:rFonts w:ascii="Georgia" w:cs="Georgia" w:eastAsia="Georgia" w:hAnsi="Georgia"/>
          <w:b/>
          <w:bCs/>
        </w:rPr>
        <w:t xml:space="preserve">Burning is opt-in.</w:t>
      </w:r>
      <w:r>
        <w:rPr>
          <w:rFonts w:ascii="Georgia" w:cs="Georgia" w:eastAsia="Georgia" w:hAnsi="Georgia"/>
        </w:rPr>
        <w:t xml:space="preserve"> No fee is destroyed automatically. Deflation by decree shrinks the volume a distribution network depends on, so any burn is a deliberate act, not a side effect of using the system.</w:t>
      </w:r>
    </w:p>
    <w:p>
      <w:pPr>
        <w:pStyle w:val="Heading1"/>
        <w:pBdr>
          <w:bottom w:val="single" w:color="D4D4D4" w:sz="6" w:space="8"/>
        </w:pBdr>
        <w:spacing w:after="200" w:before="420"/>
      </w:pPr>
      <w:r>
        <w:rPr>
          <w:rFonts w:ascii="Georgia" w:cs="Georgia" w:eastAsia="Georgia" w:hAnsi="Georgia"/>
          <w:b/>
          <w:bCs/>
          <w:color w:val="1A1A1A"/>
          <w:sz w:val="30"/>
          <w:szCs w:val="30"/>
        </w:rPr>
        <w:t xml:space="preserve">5. Settlement on Solana</w:t>
      </w:r>
    </w:p>
    <w:p>
      <w:pPr>
        <w:spacing w:after="160" w:line="300"/>
        <w:jc w:val="both"/>
      </w:pPr>
      <w:r>
        <w:rPr>
          <w:rFonts w:ascii="Georgia" w:cs="Georgia" w:eastAsia="Georgia" w:hAnsi="Georgia"/>
        </w:rPr>
        <w:t xml:space="preserve">This is the part that turns a promise into something checkable.</w:t>
      </w:r>
    </w:p>
    <w:p>
      <w:pPr>
        <w:spacing w:after="160" w:line="300"/>
        <w:jc w:val="both"/>
      </w:pPr>
      <w:r>
        <w:rPr>
          <w:rFonts w:ascii="Georgia" w:cs="Georgia" w:eastAsia="Georgia" w:hAnsi="Georgia"/>
          <w:b/>
          <w:bCs/>
        </w:rPr>
        <w:t xml:space="preserve">A campaign</w:t>
      </w:r>
      <w:r>
        <w:rPr>
          <w:rFonts w:ascii="Georgia" w:cs="Georgia" w:eastAsia="Georgia" w:hAnsi="Georgia"/>
        </w:rPr>
        <w:t xml:space="preserve"> is opened by a partner who wants to distribute tokens. It records the sponsor, the operator allowed to publish roots, the mint, and running totals. Its vault is a token account whose authority is the campaign itself — not a key anyone holds.</w:t>
      </w:r>
    </w:p>
    <w:p>
      <w:pPr>
        <w:spacing w:after="160" w:line="300"/>
        <w:jc w:val="both"/>
      </w:pPr>
      <w:r>
        <w:rPr>
          <w:rFonts w:ascii="Georgia" w:cs="Georgia" w:eastAsia="Georgia" w:hAnsi="Georgia"/>
          <w:b/>
          <w:bCs/>
        </w:rPr>
        <w:t xml:space="preserve">Funding</w:t>
      </w:r>
      <w:r>
        <w:rPr>
          <w:rFonts w:ascii="Georgia" w:cs="Georgia" w:eastAsia="Georgia" w:hAnsi="Georgia"/>
        </w:rPr>
        <w:t xml:space="preserve"> moves the partner's tokens into that vault. From that moment what the campaign owes and what it holds are both public.</w:t>
      </w:r>
    </w:p>
    <w:p>
      <w:pPr>
        <w:spacing w:after="160" w:line="300"/>
        <w:jc w:val="both"/>
      </w:pPr>
      <w:r>
        <w:rPr>
          <w:rFonts w:ascii="Georgia" w:cs="Georgia" w:eastAsia="Georgia" w:hAnsi="Georgia"/>
          <w:b/>
          <w:bCs/>
        </w:rPr>
        <w:t xml:space="preserve">A batch</w:t>
      </w:r>
      <w:r>
        <w:rPr>
          <w:rFonts w:ascii="Georgia" w:cs="Georgia" w:eastAsia="Georgia" w:hAnsi="Georgia"/>
        </w:rPr>
        <w:t xml:space="preserve"> closes periodically. Every reward earned since the last batch goes into one Merkle tree, summed per recipient wallet, and only the root is published on-chain.</w:t>
      </w:r>
    </w:p>
    <w:p>
      <w:pPr>
        <w:spacing w:after="160" w:line="300"/>
        <w:jc w:val="both"/>
      </w:pPr>
      <w:r>
        <w:rPr>
          <w:rFonts w:ascii="Georgia" w:cs="Georgia" w:eastAsia="Georgia" w:hAnsi="Georgia"/>
          <w:b/>
          <w:bCs/>
        </w:rPr>
        <w:t xml:space="preserve">Proof of reserve is enforced, not reported.</w:t>
      </w:r>
      <w:r>
        <w:rPr>
          <w:rFonts w:ascii="Georgia" w:cs="Georgia" w:eastAsia="Georgia" w:hAnsi="Georgia"/>
        </w:rPr>
        <w:t xml:space="preserve"> The program refuses a new root unless the vault still covers everything already promised plus everything the new root adds:</w:t>
      </w:r>
    </w:p>
    <w:p>
      <w:pPr>
        <w:shd w:fill="F6F8FA" w:val="clear"/>
        <w:spacing w:after="200" w:line="260"/>
        <w:ind w:left="240" w:right="240"/>
      </w:pPr>
      <w:r>
        <w:rPr>
          <w:rFonts w:ascii="Consolas" w:cs="Consolas" w:eastAsia="Consolas" w:hAnsi="Consolas"/>
          <w:color w:val="24292F"/>
          <w:sz w:val="19"/>
          <w:szCs w:val="19"/>
        </w:rPr>
        <w:t xml:space="preserve">vault.amount &gt;= committed - paid + total_amount</w:t>
      </w:r>
    </w:p>
    <w:p>
      <w:pPr>
        <w:spacing w:after="160" w:line="300"/>
        <w:jc w:val="both"/>
      </w:pPr>
      <w:r>
        <w:rPr>
          <w:rFonts w:ascii="Georgia" w:cs="Georgia" w:eastAsia="Georgia" w:hAnsi="Georgia"/>
        </w:rPr>
        <w:t xml:space="preserve">A sequencer that has over-promised cannot publish. The check runs on Solana, so it does not depend on the sequencer being honest or even being online.</w:t>
      </w:r>
    </w:p>
    <w:p>
      <w:pPr>
        <w:spacing w:after="160" w:line="300"/>
        <w:jc w:val="both"/>
      </w:pPr>
      <w:r>
        <w:rPr>
          <w:rFonts w:ascii="Georgia" w:cs="Georgia" w:eastAsia="Georgia" w:hAnsi="Georgia"/>
          <w:b/>
          <w:bCs/>
        </w:rPr>
        <w:t xml:space="preserve">A withdrawal</w:t>
      </w:r>
      <w:r>
        <w:rPr>
          <w:rFonts w:ascii="Georgia" w:cs="Georgia" w:eastAsia="Georgia" w:hAnsi="Georgia"/>
        </w:rPr>
        <w:t xml:space="preserve"> proves one leaf belongs to a published root. The program creates a receipt account for that leaf, so a second attempt fails on the account already existing rather than on a database lookup. The fee payer is a separate signer from the recipient, which is what lets the relayer cover both the fee and the account rent.</w:t>
      </w:r>
    </w:p>
    <w:p>
      <w:pPr>
        <w:spacing w:after="160" w:line="300"/>
        <w:jc w:val="both"/>
      </w:pPr>
      <w:r>
        <w:rPr>
          <w:rFonts w:ascii="Georgia" w:cs="Georgia" w:eastAsia="Georgia" w:hAnsi="Georgia"/>
          <w:b/>
          <w:bCs/>
        </w:rPr>
        <w:t xml:space="preserve">What the operator cannot do:</w:t>
      </w:r>
      <w:r>
        <w:rPr>
          <w:rFonts w:ascii="Georgia" w:cs="Georgia" w:eastAsia="Georgia" w:hAnsi="Georgia"/>
        </w:rPr>
        <w:t xml:space="preserve"> withdraw from a vault, pay more than the vault covers, pay the same leaf twice, change a published root, or touch a campaign it does not operate. The sponsor cannot do those either, and cannot take back a token already inside a published root.</w:t>
      </w:r>
    </w:p>
    <w:p>
      <w:pPr>
        <w:spacing w:after="160" w:line="300"/>
        <w:jc w:val="both"/>
      </w:pPr>
      <w:r>
        <w:rPr>
          <w:rFonts w:ascii="Georgia" w:cs="Georgia" w:eastAsia="Georgia" w:hAnsi="Georgia"/>
        </w:rPr>
        <w:t xml:space="preserve">If the appchain database is lost tomorrow, every root already on Solana still pays exactly what it promised, to exactly the wallets it was built for.</w:t>
      </w:r>
    </w:p>
    <w:p>
      <w:pPr>
        <w:pStyle w:val="Heading1"/>
        <w:pBdr>
          <w:bottom w:val="single" w:color="D4D4D4" w:sz="6" w:space="8"/>
        </w:pBdr>
        <w:spacing w:after="200" w:before="420"/>
      </w:pPr>
      <w:r>
        <w:rPr>
          <w:rFonts w:ascii="Georgia" w:cs="Georgia" w:eastAsia="Georgia" w:hAnsi="Georgia"/>
          <w:b/>
          <w:bCs/>
          <w:color w:val="1A1A1A"/>
          <w:sz w:val="30"/>
          <w:szCs w:val="30"/>
        </w:rPr>
        <w:t xml:space="preserve">6. How FaucetChain pays for itself</w:t>
      </w:r>
    </w:p>
    <w:p>
      <w:pPr>
        <w:spacing w:after="160" w:line="300"/>
        <w:jc w:val="both"/>
      </w:pPr>
      <w:r>
        <w:rPr>
          <w:rFonts w:ascii="Georgia" w:cs="Georgia" w:eastAsia="Georgia" w:hAnsi="Georgia"/>
        </w:rPr>
        <w:t xml:space="preserve">A faucet needs a revenue source or it is a countdown to insolvency. Most either sell advertising or sell the user's attention to someone worse.</w:t>
      </w:r>
    </w:p>
    <w:p>
      <w:pPr>
        <w:spacing w:after="160" w:line="300"/>
        <w:jc w:val="both"/>
      </w:pPr>
      <w:r>
        <w:rPr>
          <w:rFonts w:ascii="Georgia" w:cs="Georgia" w:eastAsia="Georgia" w:hAnsi="Georgia"/>
        </w:rPr>
        <w:t xml:space="preserve">FaucetChain stakes its own treasury.</w:t>
      </w:r>
    </w:p>
    <w:p>
      <w:pPr>
        <w:spacing w:after="160" w:line="300"/>
        <w:jc w:val="both"/>
      </w:pPr>
      <w:r>
        <w:rPr>
          <w:rFonts w:ascii="Georgia" w:cs="Georgia" w:eastAsia="Georgia" w:hAnsi="Georgia"/>
        </w:rPr>
        <w:t xml:space="preserve">The treasury holds capital and stakes it on proof-of-stake protocols, beginning with those reachable on Solana. The yield is the network's revenue. Part returns to the treasury to grow the base; part funds the rewards users claim.</w:t>
      </w:r>
    </w:p>
    <w:p>
      <w:pPr>
        <w:spacing w:after="160" w:line="300"/>
        <w:jc w:val="both"/>
      </w:pPr>
      <w:r>
        <w:rPr>
          <w:rFonts w:ascii="Georgia" w:cs="Georgia" w:eastAsia="Georgia" w:hAnsi="Georgia"/>
        </w:rPr>
        <w:t xml:space="preserve">Three things about this are deliberate:</w:t>
      </w:r>
    </w:p>
    <w:p>
      <w:pPr>
        <w:spacing w:after="160" w:line="300"/>
        <w:jc w:val="both"/>
      </w:pPr>
      <w:r>
        <w:rPr>
          <w:rFonts w:ascii="Georgia" w:cs="Georgia" w:eastAsia="Georgia" w:hAnsi="Georgia"/>
          <w:b/>
          <w:bCs/>
        </w:rPr>
        <w:t xml:space="preserve">The capital is the company's.</w:t>
      </w:r>
      <w:r>
        <w:rPr>
          <w:rFonts w:ascii="Georgia" w:cs="Georgia" w:eastAsia="Georgia" w:hAnsi="Georgia"/>
        </w:rPr>
        <w:t xml:space="preserve"> Users do not deposit, do not stake, and hold no position. They cannot lose anything, because they never had anything at risk. What they interact with is a faucet — they claim, and they are paid.</w:t>
      </w:r>
    </w:p>
    <w:p>
      <w:pPr>
        <w:spacing w:after="160" w:line="300"/>
        <w:jc w:val="both"/>
      </w:pPr>
      <w:r>
        <w:rPr>
          <w:rFonts w:ascii="Georgia" w:cs="Georgia" w:eastAsia="Georgia" w:hAnsi="Georgia"/>
          <w:b/>
          <w:bCs/>
        </w:rPr>
        <w:t xml:space="preserve">The risk sits with whoever chose it.</w:t>
      </w:r>
      <w:r>
        <w:rPr>
          <w:rFonts w:ascii="Georgia" w:cs="Georgia" w:eastAsia="Georgia" w:hAnsi="Georgia"/>
        </w:rPr>
        <w:t xml:space="preserve"> Staking carries slashing and price risk. That belongs to the treasury that decided to take it, not to someone who came to collect a fraction of a cent.</w:t>
      </w:r>
    </w:p>
    <w:p>
      <w:pPr>
        <w:spacing w:after="160" w:line="300"/>
        <w:jc w:val="both"/>
      </w:pPr>
      <w:r>
        <w:rPr>
          <w:rFonts w:ascii="Georgia" w:cs="Georgia" w:eastAsia="Georgia" w:hAnsi="Georgia"/>
          <w:b/>
          <w:bCs/>
        </w:rPr>
        <w:t xml:space="preserve">It is revenue, not a promise of return.</w:t>
      </w:r>
      <w:r>
        <w:rPr>
          <w:rFonts w:ascii="Georgia" w:cs="Georgia" w:eastAsia="Georgia" w:hAnsi="Georgia"/>
        </w:rPr>
        <w:t xml:space="preserve"> Nothing here offers users a yield, an APY, or a share of anything. The yield funds a budget. The budget funds rewards. A user sees rewards.</w:t>
      </w:r>
    </w:p>
    <w:p>
      <w:pPr>
        <w:spacing w:after="160" w:line="300"/>
        <w:jc w:val="both"/>
      </w:pPr>
      <w:r>
        <w:rPr>
          <w:rFonts w:ascii="Georgia" w:cs="Georgia" w:eastAsia="Georgia" w:hAnsi="Georgia"/>
        </w:rPr>
        <w:t xml:space="preserve">Solana is the starting point because settlement already lives there. Extending to other protocols is a later question, and an honest one: it adds operational risk before it adds revenue.</w:t>
      </w:r>
    </w:p>
    <w:p>
      <w:pPr>
        <w:pStyle w:val="Heading1"/>
        <w:pBdr>
          <w:bottom w:val="single" w:color="D4D4D4" w:sz="6" w:space="8"/>
        </w:pBdr>
        <w:spacing w:after="200" w:before="420"/>
      </w:pPr>
      <w:r>
        <w:rPr>
          <w:rFonts w:ascii="Georgia" w:cs="Georgia" w:eastAsia="Georgia" w:hAnsi="Georgia"/>
          <w:b/>
          <w:bCs/>
          <w:color w:val="1A1A1A"/>
          <w:sz w:val="30"/>
          <w:szCs w:val="30"/>
        </w:rPr>
        <w:t xml:space="preserve">7. What a user is paid in</w:t>
      </w:r>
    </w:p>
    <w:p>
      <w:pPr>
        <w:spacing w:after="160" w:line="300"/>
        <w:jc w:val="both"/>
      </w:pPr>
      <w:r>
        <w:rPr>
          <w:rFonts w:ascii="Georgia" w:cs="Georgia" w:eastAsia="Georgia" w:hAnsi="Georgia"/>
        </w:rPr>
        <w:t xml:space="preserve">Because settlement identifies a campaign by its mint, paying in different assets is not an extra system — it is another campaign.</w:t>
      </w:r>
    </w:p>
    <w:p>
      <w:pPr>
        <w:spacing w:after="160" w:line="300"/>
        <w:jc w:val="both"/>
      </w:pPr>
      <w:r>
        <w:rPr>
          <w:rFonts w:ascii="Georgia" w:cs="Georgia" w:eastAsia="Georgia" w:hAnsi="Georgia"/>
        </w:rPr>
        <w:t xml:space="preserve">The intent is to let a user choose: </w:t>
      </w:r>
      <w:r>
        <w:rPr>
          <w:rFonts w:ascii="Georgia" w:cs="Georgia" w:eastAsia="Georgia" w:hAnsi="Georgia"/>
          <w:b/>
          <w:bCs/>
        </w:rPr>
        <w:t xml:space="preserve">$CLAIM</w:t>
      </w:r>
      <w:r>
        <w:rPr>
          <w:rFonts w:ascii="Georgia" w:cs="Georgia" w:eastAsia="Georgia" w:hAnsi="Georgia"/>
        </w:rPr>
        <w:t xml:space="preserve">, when reserves cover it, or </w:t>
      </w:r>
      <w:r>
        <w:rPr>
          <w:rFonts w:ascii="Georgia" w:cs="Georgia" w:eastAsia="Georgia" w:hAnsi="Georgia"/>
          <w:b/>
          <w:bCs/>
        </w:rPr>
        <w:t xml:space="preserve">the asset the treasury actually staked to earn the reward</w:t>
      </w:r>
      <w:r>
        <w:rPr>
          <w:rFonts w:ascii="Georgia" w:cs="Georgia" w:eastAsia="Georgia" w:hAnsi="Georgia"/>
        </w:rPr>
        <w:t xml:space="preserve">. Someone who wants exposure to the network takes $CLAIM. Someone who wants something liquid takes the staked asset.</w:t>
      </w:r>
    </w:p>
    <w:p>
      <w:pPr>
        <w:spacing w:after="160" w:line="300"/>
        <w:jc w:val="both"/>
      </w:pPr>
      <w:r>
        <w:rPr>
          <w:rFonts w:ascii="Georgia" w:cs="Georgia" w:eastAsia="Georgia" w:hAnsi="Georgia"/>
        </w:rPr>
        <w:t xml:space="preserve">This is designed, not built. It is named here because it shapes the settlement layer that is built, and because a paper that omitted it would be describing half a system.</w:t>
      </w:r>
    </w:p>
    <w:p>
      <w:pPr>
        <w:pStyle w:val="Heading1"/>
        <w:pBdr>
          <w:bottom w:val="single" w:color="D4D4D4" w:sz="6" w:space="8"/>
        </w:pBdr>
        <w:spacing w:after="200" w:before="420"/>
      </w:pPr>
      <w:r>
        <w:rPr>
          <w:rFonts w:ascii="Georgia" w:cs="Georgia" w:eastAsia="Georgia" w:hAnsi="Georgia"/>
          <w:b/>
          <w:bCs/>
          <w:color w:val="1A1A1A"/>
          <w:sz w:val="30"/>
          <w:szCs w:val="30"/>
        </w:rPr>
        <w:t xml:space="preserve">8. Sentinel</w:t>
      </w:r>
    </w:p>
    <w:p>
      <w:pPr>
        <w:spacing w:after="160" w:line="300"/>
        <w:jc w:val="both"/>
      </w:pPr>
      <w:r>
        <w:rPr>
          <w:rFonts w:ascii="Georgia" w:cs="Georgia" w:eastAsia="Georgia" w:hAnsi="Georgia"/>
        </w:rPr>
        <w:t xml:space="preserve">Anything that pays for clicks attracts scripts. Sentinel watches claim timing, address clustering and per-IP behaviour, and scores accounts that look automated.</w:t>
      </w:r>
    </w:p>
    <w:p>
      <w:pPr>
        <w:spacing w:after="160" w:line="300"/>
        <w:jc w:val="both"/>
      </w:pPr>
      <w:r>
        <w:rPr>
          <w:rFonts w:ascii="Georgia" w:cs="Georgia" w:eastAsia="Georgia" w:hAnsi="Georgia"/>
        </w:rPr>
        <w:t xml:space="preserve">It is a filter, not a gate. The limits that actually hold — the quota, the difficulty curve, the IP cap, and on Solana the reserve check and the bit each leaf owns in its root — are arithmetic, and hold whether or not a model classifies correctly. Sentinel reduces load on those limits; it is not what makes them safe.</w:t>
      </w:r>
    </w:p>
    <w:p>
      <w:pPr>
        <w:pStyle w:val="Heading1"/>
        <w:pBdr>
          <w:bottom w:val="single" w:color="D4D4D4" w:sz="6" w:space="8"/>
        </w:pBdr>
        <w:spacing w:after="200" w:before="420"/>
      </w:pPr>
      <w:r>
        <w:rPr>
          <w:rFonts w:ascii="Georgia" w:cs="Georgia" w:eastAsia="Georgia" w:hAnsi="Georgia"/>
          <w:b/>
          <w:bCs/>
          <w:color w:val="1A1A1A"/>
          <w:sz w:val="30"/>
          <w:szCs w:val="30"/>
        </w:rPr>
        <w:t xml:space="preserve">9. What exists, and what does not</w:t>
      </w:r>
    </w:p>
    <w:p>
      <w:pPr>
        <w:spacing w:after="160" w:line="300"/>
        <w:jc w:val="both"/>
      </w:pPr>
      <w:r>
        <w:rPr>
          <w:rFonts w:ascii="Georgia" w:cs="Georgia" w:eastAsia="Georgia" w:hAnsi="Georgia"/>
        </w:rPr>
        <w:t xml:space="preserve">The distinction matters more than the roadmap, so it comes first.</w:t>
      </w:r>
    </w:p>
    <w:p>
      <w:pPr>
        <w:spacing w:after="160" w:line="300"/>
        <w:jc w:val="both"/>
      </w:pPr>
      <w:r>
        <w:rPr>
          <w:rFonts w:ascii="Georgia" w:cs="Georgia" w:eastAsia="Georgia" w:hAnsi="Georgia"/>
          <w:b/>
          <w:bCs/>
        </w:rPr>
        <w:t xml:space="preserve">Working and covered by tests</w:t>
      </w:r>
    </w:p>
    <w:p>
      <w:pPr>
        <w:pStyle w:val="ListParagraph"/>
        <w:numPr>
          <w:ilvl w:val="0"/>
          <w:numId w:val="2"/>
        </w:numPr>
        <w:spacing w:after="120" w:line="300"/>
      </w:pPr>
      <w:r>
        <w:rPr>
          <w:rFonts w:ascii="Georgia" w:cs="Georgia" w:eastAsia="Georgia" w:hAnsi="Georgia"/>
        </w:rPr>
        <w:t xml:space="preserve">Proof of Claim with rising difficulty, the hourly quota, and the per-IP wallet cap</w:t>
      </w:r>
    </w:p>
    <w:p>
      <w:pPr>
        <w:pStyle w:val="ListParagraph"/>
        <w:numPr>
          <w:ilvl w:val="0"/>
          <w:numId w:val="2"/>
        </w:numPr>
        <w:spacing w:after="120" w:line="300"/>
      </w:pPr>
      <w:r>
        <w:rPr>
          <w:rFonts w:ascii="Georgia" w:cs="Georgia" w:eastAsia="Georgia" w:hAnsi="Georgia"/>
        </w:rPr>
        <w:t xml:space="preserve">The Solana program: campaigns, funding, root publication with the reserve check, Merkle-proof withdrawal, receipts against replay, surplus return, campaign closing</w:t>
      </w:r>
    </w:p>
    <w:p>
      <w:pPr>
        <w:pStyle w:val="ListParagraph"/>
        <w:numPr>
          <w:ilvl w:val="0"/>
          <w:numId w:val="2"/>
        </w:numPr>
        <w:spacing w:after="120" w:line="300"/>
      </w:pPr>
      <w:r>
        <w:rPr>
          <w:rFonts w:ascii="Georgia" w:cs="Georgia" w:eastAsia="Georgia" w:hAnsi="Georgia"/>
        </w:rPr>
        <w:t xml:space="preserve">The relayer: a user with zero SOL withdraws; the relayer signs only a transaction it built and verified byte for byte, and refuses five distinct tampering attempts</w:t>
      </w:r>
    </w:p>
    <w:p>
      <w:pPr>
        <w:pStyle w:val="ListParagraph"/>
        <w:numPr>
          <w:ilvl w:val="0"/>
          <w:numId w:val="2"/>
        </w:numPr>
        <w:spacing w:after="120" w:line="300"/>
      </w:pPr>
      <w:r>
        <w:rPr>
          <w:rFonts w:ascii="Georgia" w:cs="Georgia" w:eastAsia="Georgia" w:hAnsi="Georgia"/>
        </w:rPr>
        <w:t xml:space="preserve">Linking a Solana wallet, which requires a signature from that wallet, not just its address</w:t>
      </w:r>
    </w:p>
    <w:p>
      <w:pPr>
        <w:pStyle w:val="ListParagraph"/>
        <w:numPr>
          <w:ilvl w:val="0"/>
          <w:numId w:val="2"/>
        </w:numPr>
        <w:spacing w:after="120" w:line="300"/>
      </w:pPr>
      <w:r>
        <w:rPr>
          <w:rFonts w:ascii="Georgia" w:cs="Georgia" w:eastAsia="Georgia" w:hAnsi="Georgia"/>
        </w:rPr>
        <w:t xml:space="preserve">A settlement ledger read from Solana rather than from the sequencer</w:t>
      </w:r>
    </w:p>
    <w:p>
      <w:pPr>
        <w:pStyle w:val="ListParagraph"/>
        <w:numPr>
          <w:ilvl w:val="0"/>
          <w:numId w:val="2"/>
        </w:numPr>
        <w:spacing w:after="120" w:line="300"/>
      </w:pPr>
      <w:r>
        <w:rPr>
          <w:rFonts w:ascii="Georgia" w:cs="Georgia" w:eastAsia="Georgia" w:hAnsi="Georgia"/>
        </w:rPr>
        <w:t xml:space="preserve">The whole flow end to end against a running program, nothing mocked</w:t>
      </w:r>
    </w:p>
    <w:p>
      <w:pPr>
        <w:pStyle w:val="ListParagraph"/>
        <w:numPr>
          <w:ilvl w:val="0"/>
          <w:numId w:val="2"/>
        </w:numPr>
        <w:spacing w:after="120" w:line="300"/>
      </w:pPr>
      <w:r>
        <w:rPr>
          <w:rFonts w:ascii="Georgia" w:cs="Georgia" w:eastAsia="Georgia" w:hAnsi="Georgia"/>
        </w:rPr>
        <w:t xml:space="preserve">Session authentication for custodial accounts. Knowing the address used to be enough to spend from it and to repoint where its rewards are paid; it is not any more, and there is no fallback to address-only</w:t>
      </w:r>
    </w:p>
    <w:p>
      <w:pPr>
        <w:pStyle w:val="ListParagraph"/>
        <w:numPr>
          <w:ilvl w:val="0"/>
          <w:numId w:val="2"/>
        </w:numPr>
        <w:spacing w:after="120" w:line="300"/>
      </w:pPr>
      <w:r>
        <w:rPr>
          <w:rFonts w:ascii="Georgia" w:cs="Georgia" w:eastAsia="Georgia" w:hAnsi="Georgia"/>
        </w:rPr>
        <w:t xml:space="preserve">Rate limits on the relayer and on the proof endpoint</w:t>
      </w:r>
    </w:p>
    <w:p>
      <w:pPr>
        <w:pStyle w:val="ListParagraph"/>
        <w:numPr>
          <w:ilvl w:val="0"/>
          <w:numId w:val="2"/>
        </w:numPr>
        <w:spacing w:after="120" w:line="300"/>
      </w:pPr>
      <w:r>
        <w:rPr>
          <w:rFonts w:ascii="Georgia" w:cs="Georgia" w:eastAsia="Georgia" w:hAnsi="Georgia"/>
        </w:rPr>
        <w:t xml:space="preserve">Deployed on devnet as </w:t>
      </w:r>
      <w:r>
        <w:rPr>
          <w:rFonts w:ascii="Consolas" w:cs="Consolas" w:eastAsia="Consolas" w:hAnsi="Consolas"/>
          <w:color w:val="0B5394"/>
          <w:sz w:val="19"/>
          <w:szCs w:val="19"/>
        </w:rPr>
        <w:t xml:space="preserve">64LW8DZcrttzaZ5RTTxAytfCGdb3QvDeTq5pUY7WBqSm</w:t>
      </w:r>
      <w:r>
        <w:rPr>
          <w:rFonts w:ascii="Georgia" w:cs="Georgia" w:eastAsia="Georgia" w:hAnsi="Georgia"/>
        </w:rPr>
        <w:t xml:space="preserve">, with six roots published and two withdrawals settled by real wallets</w:t>
      </w:r>
    </w:p>
    <w:p>
      <w:pPr>
        <w:spacing w:after="160" w:line="300"/>
        <w:jc w:val="both"/>
      </w:pPr>
      <w:r>
        <w:rPr>
          <w:rFonts w:ascii="Georgia" w:cs="Georgia" w:eastAsia="Georgia" w:hAnsi="Georgia"/>
          <w:b/>
          <w:bCs/>
        </w:rPr>
        <w:t xml:space="preserve">Running outside a test, and how small that is</w:t>
      </w:r>
    </w:p>
    <w:p>
      <w:pPr>
        <w:spacing w:after="160" w:line="300"/>
        <w:jc w:val="both"/>
      </w:pPr>
      <w:r>
        <w:rPr>
          <w:rFonts w:ascii="Georgia" w:cs="Georgia" w:eastAsia="Georgia" w:hAnsi="Georgia"/>
        </w:rPr>
        <w:t xml:space="preserve">One faucet is connected in production. faucethunter.net opened for testing in early September 2026, has </w:t>
      </w:r>
      <w:r>
        <w:rPr>
          <w:rFonts w:ascii="Georgia" w:cs="Georgia" w:eastAsia="Georgia" w:hAnsi="Georgia"/>
          <w:b/>
          <w:bCs/>
        </w:rPr>
        <w:t xml:space="preserve">five registered users</w:t>
      </w:r>
      <w:r>
        <w:rPr>
          <w:rFonts w:ascii="Georgia" w:cs="Georgia" w:eastAsia="Georgia" w:hAnsi="Georgia"/>
        </w:rPr>
        <w:t xml:space="preserve">, and has paid </w:t>
      </w:r>
      <w:r>
        <w:rPr>
          <w:rFonts w:ascii="Georgia" w:cs="Georgia" w:eastAsia="Georgia" w:hAnsi="Georgia"/>
          <w:b/>
          <w:bCs/>
        </w:rPr>
        <w:t xml:space="preserve">more than 75 claims</w:t>
      </w:r>
      <w:r>
        <w:rPr>
          <w:rFonts w:ascii="Georgia" w:cs="Georgia" w:eastAsia="Georgia" w:hAnsi="Georgia"/>
        </w:rPr>
        <w:t xml:space="preserve"> to them. It sends each claim to this chain over one HTTP call made after its own commit.</w:t>
      </w:r>
    </w:p>
    <w:p>
      <w:pPr>
        <w:spacing w:after="160" w:line="300"/>
        <w:jc w:val="both"/>
      </w:pPr>
      <w:r>
        <w:rPr>
          <w:rFonts w:ascii="Georgia" w:cs="Georgia" w:eastAsia="Georgia" w:hAnsi="Georgia"/>
        </w:rPr>
        <w:t xml:space="preserve">Two things have to be said about those 75, in this order.</w:t>
      </w:r>
    </w:p>
    <w:p>
      <w:pPr>
        <w:spacing w:after="160" w:line="300"/>
        <w:jc w:val="both"/>
      </w:pPr>
      <w:r>
        <w:rPr>
          <w:rFonts w:ascii="Georgia" w:cs="Georgia" w:eastAsia="Georgia" w:hAnsi="Georgia"/>
          <w:b/>
          <w:bCs/>
        </w:rPr>
        <w:t xml:space="preserve">They were paid by the faucet, not by us.</w:t>
      </w:r>
      <w:r>
        <w:rPr>
          <w:rFonts w:ascii="Georgia" w:cs="Georgia" w:eastAsia="Georgia" w:hAnsi="Georgia"/>
        </w:rPr>
        <w:t xml:space="preserve"> FaucetHunter pays its users through FaucetPay, its own rail; our FaucetPay integration proves an identity and moves no money. So the 75 are evidence that a real operator runs a real faucet and really pays — not evidence that FaucetChain distributed anything. Counting them as ours would be the easiest claim in this paper to puncture.</w:t>
      </w:r>
    </w:p>
    <w:p>
      <w:pPr>
        <w:spacing w:after="160" w:line="300"/>
        <w:jc w:val="both"/>
      </w:pPr>
      <w:r>
        <w:rPr>
          <w:rFonts w:ascii="Georgia" w:cs="Georgia" w:eastAsia="Georgia" w:hAnsi="Georgia"/>
          <w:b/>
          <w:bCs/>
        </w:rPr>
        <w:t xml:space="preserve">Five users is small, and the number is the point.</w:t>
      </w:r>
      <w:r>
        <w:rPr>
          <w:rFonts w:ascii="Georgia" w:cs="Georgia" w:eastAsia="Georgia" w:hAnsi="Georgia"/>
        </w:rPr>
        <w:t xml:space="preserve"> What it demonstrates is the integration cost: a working faucet added this chain with one call, kept its own payouts, kept custody of its own money, and stays up if we go down (</w:t>
      </w:r>
      <w:r>
        <w:rPr>
          <w:rFonts w:ascii="Consolas" w:cs="Consolas" w:eastAsia="Consolas" w:hAnsi="Consolas"/>
          <w:color w:val="0B5394"/>
          <w:sz w:val="19"/>
          <w:szCs w:val="19"/>
        </w:rPr>
        <w:t xml:space="preserve">test_partner_survives_outage.py</w:t>
      </w:r>
      <w:r>
        <w:rPr>
          <w:rFonts w:ascii="Georgia" w:cs="Georgia" w:eastAsia="Georgia" w:hAnsi="Georgia"/>
        </w:rPr>
        <w:t xml:space="preserve">). That argument does not need scale to be true, and scale would not make it truer.</w:t>
      </w:r>
    </w:p>
    <w:p>
      <w:pPr>
        <w:spacing w:after="160" w:line="300"/>
        <w:jc w:val="both"/>
      </w:pPr>
      <w:r>
        <w:rPr>
          <w:rFonts w:ascii="Georgia" w:cs="Georgia" w:eastAsia="Georgia" w:hAnsi="Georgia"/>
        </w:rPr>
        <w:t xml:space="preserve">What this does not yet show is demand from anyone outside the team. No faucet operator beyond this one has asked for it. That is the honest state, and it is the next milestone rather than a gap in the design.</w:t>
      </w:r>
    </w:p>
    <w:p>
      <w:pPr>
        <w:spacing w:after="160" w:line="300"/>
        <w:jc w:val="both"/>
      </w:pPr>
      <w:r>
        <w:rPr>
          <w:rFonts w:ascii="Georgia" w:cs="Georgia" w:eastAsia="Georgia" w:hAnsi="Georgia"/>
          <w:b/>
          <w:bCs/>
        </w:rPr>
        <w:t xml:space="preserve">Designed, not built</w:t>
      </w:r>
    </w:p>
    <w:p>
      <w:pPr>
        <w:pStyle w:val="ListParagraph"/>
        <w:numPr>
          <w:ilvl w:val="0"/>
          <w:numId w:val="2"/>
        </w:numPr>
        <w:spacing w:after="120" w:line="300"/>
      </w:pPr>
      <w:r>
        <w:rPr>
          <w:rFonts w:ascii="Georgia" w:cs="Georgia" w:eastAsia="Georgia" w:hAnsi="Georgia"/>
        </w:rPr>
        <w:t xml:space="preserve">Treasury staking as an automated operation — today it is a stated model</w:t>
      </w:r>
    </w:p>
    <w:p>
      <w:pPr>
        <w:pStyle w:val="ListParagraph"/>
        <w:numPr>
          <w:ilvl w:val="0"/>
          <w:numId w:val="2"/>
        </w:numPr>
        <w:spacing w:after="120" w:line="300"/>
      </w:pPr>
      <w:r>
        <w:rPr>
          <w:rFonts w:ascii="Georgia" w:cs="Georgia" w:eastAsia="Georgia" w:hAnsi="Georgia"/>
        </w:rPr>
        <w:t xml:space="preserve">The payout choice between $CLAIM and the staked asset</w:t>
      </w:r>
    </w:p>
    <w:p>
      <w:pPr>
        <w:pStyle w:val="ListParagraph"/>
        <w:numPr>
          <w:ilvl w:val="0"/>
          <w:numId w:val="2"/>
        </w:numPr>
        <w:spacing w:after="120" w:line="300"/>
      </w:pPr>
      <w:r>
        <w:rPr>
          <w:rFonts w:ascii="Georgia" w:cs="Georgia" w:eastAsia="Georgia" w:hAnsi="Georgia"/>
        </w:rPr>
        <w:t xml:space="preserve">A public SDK for partner faucets</w:t>
      </w:r>
    </w:p>
    <w:p>
      <w:pPr>
        <w:pStyle w:val="ListParagraph"/>
        <w:numPr>
          <w:ilvl w:val="0"/>
          <w:numId w:val="2"/>
        </w:numPr>
        <w:spacing w:after="120" w:line="300"/>
      </w:pPr>
      <w:r>
        <w:rPr>
          <w:rFonts w:ascii="Georgia" w:cs="Georgia" w:eastAsia="Georgia" w:hAnsi="Georgia"/>
        </w:rPr>
        <w:t xml:space="preserve">Expiry for rewards nobody ever claims</w:t>
      </w:r>
    </w:p>
    <w:p>
      <w:pPr>
        <w:spacing w:after="160" w:line="300"/>
        <w:jc w:val="both"/>
      </w:pPr>
      <w:r>
        <w:rPr>
          <w:rFonts w:ascii="Georgia" w:cs="Georgia" w:eastAsia="Georgia" w:hAnsi="Georgia"/>
          <w:b/>
          <w:bCs/>
        </w:rPr>
        <w:t xml:space="preserve">Known limits, stated because they are real</w:t>
      </w:r>
    </w:p>
    <w:p>
      <w:pPr>
        <w:pStyle w:val="ListParagraph"/>
        <w:numPr>
          <w:ilvl w:val="0"/>
          <w:numId w:val="2"/>
        </w:numPr>
        <w:spacing w:after="120" w:line="300"/>
      </w:pPr>
      <w:r>
        <w:rPr>
          <w:rFonts w:ascii="Georgia" w:cs="Georgia" w:eastAsia="Georgia" w:hAnsi="Georgia"/>
        </w:rPr>
        <w:t xml:space="preserve">One sequencer closes batches. It cannot steal — the program stops that — but it can stall. This is the sharpest open item now that custodial accounts have sessions.</w:t>
      </w:r>
    </w:p>
    <w:p>
      <w:pPr>
        <w:pStyle w:val="ListParagraph"/>
        <w:numPr>
          <w:ilvl w:val="0"/>
          <w:numId w:val="2"/>
        </w:numPr>
        <w:spacing w:after="120" w:line="300"/>
      </w:pPr>
      <w:r>
        <w:rPr>
          <w:rFonts w:ascii="Georgia" w:cs="Georgia" w:eastAsia="Georgia" w:hAnsi="Georgia"/>
        </w:rPr>
        <w:t xml:space="preserve">Token-2022 mints with transfer fees would break payout accounting; campaigns should stay on plain SPL mints until that is handled.</w:t>
      </w:r>
    </w:p>
    <w:p>
      <w:pPr>
        <w:pStyle w:val="Heading1"/>
        <w:pBdr>
          <w:bottom w:val="single" w:color="D4D4D4" w:sz="6" w:space="8"/>
        </w:pBdr>
        <w:spacing w:after="200" w:before="420"/>
      </w:pPr>
      <w:r>
        <w:rPr>
          <w:rFonts w:ascii="Georgia" w:cs="Georgia" w:eastAsia="Georgia" w:hAnsi="Georgia"/>
          <w:b/>
          <w:bCs/>
          <w:color w:val="1A1A1A"/>
          <w:sz w:val="30"/>
          <w:szCs w:val="30"/>
        </w:rPr>
        <w:t xml:space="preserve">10. Roadmap</w:t>
      </w:r>
    </w:p>
    <w:p>
      <w:pPr>
        <w:spacing w:after="160" w:line="300"/>
        <w:jc w:val="both"/>
      </w:pPr>
      <w:r>
        <w:rPr>
          <w:rFonts w:ascii="Georgia" w:cs="Georgia" w:eastAsia="Georgia" w:hAnsi="Georgia"/>
          <w:b/>
          <w:bCs/>
        </w:rPr>
        <w:t xml:space="preserve">Done</w:t>
      </w:r>
      <w:r>
        <w:rPr>
          <w:rFonts w:ascii="Georgia" w:cs="Georgia" w:eastAsia="Georgia" w:hAnsi="Georgia"/>
        </w:rPr>
        <w:t xml:space="preserve"> — Proof of Claim and the hourly economy; the appchain, its API and explorer; anti-Sybil; the Solana settlement program with vaults, roots, proofs, receipts and the relayer; the ledger read from chain; devnet deployment and a live demo campaign; session authentication for custodial accounts; rate limits on the relayer and the proof endpoint.</w:t>
      </w:r>
    </w:p>
    <w:p>
      <w:pPr>
        <w:spacing w:after="160" w:line="300"/>
        <w:jc w:val="both"/>
      </w:pPr>
      <w:r>
        <w:rPr>
          <w:rFonts w:ascii="Georgia" w:cs="Georgia" w:eastAsia="Georgia" w:hAnsi="Georgia"/>
          <w:b/>
          <w:bCs/>
        </w:rPr>
        <w:t xml:space="preserve">Next</w:t>
      </w:r>
      <w:r>
        <w:rPr>
          <w:rFonts w:ascii="Georgia" w:cs="Georgia" w:eastAsia="Georgia" w:hAnsi="Georgia"/>
        </w:rPr>
        <w:t xml:space="preserve"> — a partner SDK; a second faucet operator outside the team.</w:t>
      </w:r>
    </w:p>
    <w:p>
      <w:pPr>
        <w:spacing w:after="160" w:line="300"/>
        <w:jc w:val="both"/>
      </w:pPr>
      <w:r>
        <w:rPr>
          <w:rFonts w:ascii="Georgia" w:cs="Georgia" w:eastAsia="Georgia" w:hAnsi="Georgia"/>
          <w:b/>
          <w:bCs/>
        </w:rPr>
        <w:t xml:space="preserve">After that</w:t>
      </w:r>
      <w:r>
        <w:rPr>
          <w:rFonts w:ascii="Georgia" w:cs="Georgia" w:eastAsia="Georgia" w:hAnsi="Georgia"/>
        </w:rPr>
        <w:t xml:space="preserve"> — treasury staking as an operation rather than a model; the payout choice; unclaimed-reward expiry; more than one sequencer.</w:t>
      </w:r>
    </w:p>
    <w:p>
      <w:pPr>
        <w:spacing w:after="160" w:line="300"/>
        <w:jc w:val="both"/>
      </w:pPr>
      <w:r>
        <w:rPr>
          <w:rFonts w:ascii="Georgia" w:cs="Georgia" w:eastAsia="Georgia" w:hAnsi="Georgia"/>
          <w:b/>
          <w:bCs/>
        </w:rPr>
        <w:t xml:space="preserve">Later</w:t>
      </w:r>
      <w:r>
        <w:rPr>
          <w:rFonts w:ascii="Georgia" w:cs="Georgia" w:eastAsia="Georgia" w:hAnsi="Georgia"/>
        </w:rPr>
        <w:t xml:space="preserve"> — staking beyond Solana; governance over treasury parameters; opening faucet registration without review.</w:t>
      </w:r>
    </w:p>
    <w:p>
      <w:pPr>
        <w:spacing w:after="160" w:line="300"/>
        <w:jc w:val="both"/>
      </w:pPr>
      <w:r>
        <w:rPr>
          <w:rFonts w:ascii="Georgia" w:cs="Georgia" w:eastAsia="Georgia" w:hAnsi="Georgia"/>
        </w:rPr>
        <w:t xml:space="preserve">Dates are deliberately absent. The previous version of this paper marked Solidity contracts as complete that were never deployed, which is the specific mistake this section exists to avoid.</w:t>
      </w:r>
    </w:p>
    <w:p>
      <w:pPr>
        <w:pStyle w:val="Heading1"/>
        <w:pBdr>
          <w:bottom w:val="single" w:color="D4D4D4" w:sz="6" w:space="8"/>
        </w:pBdr>
        <w:spacing w:after="200" w:before="420"/>
      </w:pPr>
      <w:r>
        <w:rPr>
          <w:rFonts w:ascii="Georgia" w:cs="Georgia" w:eastAsia="Georgia" w:hAnsi="Georgia"/>
          <w:b/>
          <w:bCs/>
          <w:color w:val="1A1A1A"/>
          <w:sz w:val="30"/>
          <w:szCs w:val="30"/>
        </w:rPr>
        <w:t xml:space="preserve">11. What was true before, and is not now</w:t>
      </w:r>
    </w:p>
    <w:p>
      <w:pPr>
        <w:spacing w:after="160" w:line="300"/>
        <w:jc w:val="both"/>
      </w:pPr>
      <w:r>
        <w:rPr>
          <w:rFonts w:ascii="Georgia" w:cs="Georgia" w:eastAsia="Georgia" w:hAnsi="Georgia"/>
        </w:rPr>
        <w:t xml:space="preserve">FaucetChain began as a single EVM appchain with Solidity contracts. Those contracts are archived in </w:t>
      </w:r>
      <w:hyperlink w:history="1" r:id="rIdhxjexhhhxclubdhwxr0ho">
        <w:r>
          <w:rPr>
            <w:rStyle w:val="Hyperlink"/>
            <w:rFonts w:ascii="Georgia" w:cs="Georgia" w:eastAsia="Georgia" w:hAnsi="Georgia"/>
          </w:rPr>
          <w:t xml:space="preserve">legacy/evm/</w:t>
        </w:r>
      </w:hyperlink>
      <w:r>
        <w:rPr>
          <w:rFonts w:ascii="Georgia" w:cs="Georgia" w:eastAsia="Georgia" w:hAnsi="Georgia"/>
        </w:rPr>
        <w:t xml:space="preserve">; they compile, the backend never called them, and they were never deployed to a public network. Notes from that period are in </w:t>
      </w:r>
      <w:hyperlink w:history="1" r:id="rIdimtsqopcrgqkjf8fnvowy">
        <w:r>
          <w:rPr>
            <w:rStyle w:val="Hyperlink"/>
            <w:rFonts w:ascii="Georgia" w:cs="Georgia" w:eastAsia="Georgia" w:hAnsi="Georgia"/>
          </w:rPr>
          <w:t xml:space="preserve">legacy/docs/</w:t>
        </w:r>
      </w:hyperlink>
      <w:r>
        <w:rPr>
          <w:rFonts w:ascii="Georgia" w:cs="Georgia" w:eastAsia="Georgia" w:hAnsi="Georgia"/>
        </w:rPr>
        <w:t xml:space="preserve">.</w:t>
      </w:r>
    </w:p>
    <w:p>
      <w:pPr>
        <w:spacing w:after="160" w:line="300"/>
        <w:jc w:val="both"/>
      </w:pPr>
      <w:r>
        <w:rPr>
          <w:rFonts w:ascii="Georgia" w:cs="Georgia" w:eastAsia="Georgia" w:hAnsi="Georgia"/>
        </w:rPr>
        <w:t xml:space="preserve">The earlier paper described that EVM design as the architecture and listed an Ethereum bridge as the plan. Settlement is on Solana now, and there is no bridge: value does not cross a chain boundary, only a 32-byte root does.</w:t>
      </w:r>
    </w:p>
    <w:p>
      <w:pPr>
        <w:spacing w:after="160" w:line="300"/>
        <w:jc w:val="both"/>
      </w:pPr>
      <w:r>
        <w:rPr>
          <w:rFonts w:ascii="Georgia" w:cs="Georgia" w:eastAsia="Georgia" w:hAnsi="Georgia"/>
        </w:rPr>
        <w:t xml:space="preserve">A second correction, from October and about this project's own numbers. The sequencer's database recorded nineteen published roots. Five exist. Fourteen batches carried a signature for a transaction that was never sent, and every screen and document that cited the count repeated it.</w:t>
      </w:r>
    </w:p>
    <w:p>
      <w:pPr>
        <w:spacing w:after="160" w:line="300"/>
        <w:jc w:val="both"/>
      </w:pPr>
      <w:r>
        <w:rPr>
          <w:rFonts w:ascii="Georgia" w:cs="Georgia" w:eastAsia="Georgia" w:hAnsi="Georgia"/>
        </w:rPr>
        <w:t xml:space="preserve">Asking Solana for the transaction is not what settled it: devnet prunes transaction history, so a signature that returns nothing proves nothing either way. What settles it is the account. Publishing a root creates one, and accounts are not pruned. </w:t>
      </w:r>
      <w:hyperlink w:history="1" r:id="rIdywr6cssj9ii_2ocb_hx7t">
        <w:r>
          <w:rPr>
            <w:rStyle w:val="Hyperlink"/>
            <w:rFonts w:ascii="Georgia" w:cs="Georgia" w:eastAsia="Georgia" w:hAnsi="Georgia"/>
          </w:rPr>
          <w:t xml:space="preserve">verify_published_roots.py</w:t>
        </w:r>
      </w:hyperlink>
      <w:r>
        <w:rPr>
          <w:rFonts w:ascii="Georgia" w:cs="Georgia" w:eastAsia="Georgia" w:hAnsi="Georgia"/>
        </w:rPr>
        <w:t xml:space="preserve"> counts roots that way and exits non-zero when the database claims more than the chain holds.</w:t>
      </w:r>
    </w:p>
    <w:p>
      <w:pPr>
        <w:spacing w:after="160" w:line="300"/>
        <w:jc w:val="both"/>
      </w:pPr>
      <w:r>
        <w:rPr>
          <w:rFonts w:ascii="Georgia" w:cs="Georgia" w:eastAsia="Georgia" w:hAnsi="Georgia"/>
        </w:rPr>
        <w:t xml:space="preserve">The paper records this for the same reason it records the Solidity contracts: a number nobody checked is the failure mode this whole design exists to remove, and it is worth saying out loud that it happened here too.</w:t>
      </w:r>
    </w:p>
    <w:p>
      <w:pPr>
        <w:spacing w:after="160" w:line="300"/>
        <w:jc w:val="both"/>
      </w:pPr>
      <w:hyperlink w:history="1" r:id="rIdfi98qbunujhdgfhsuanpv">
        <w:r>
          <w:rPr>
            <w:rStyle w:val="Hyperlink"/>
            <w:rFonts w:ascii="Georgia" w:cs="Georgia" w:eastAsia="Georgia" w:hAnsi="Georgia"/>
          </w:rPr>
          <w:t xml:space="preserve">PRIOR_WORK.md</w:t>
        </w:r>
      </w:hyperlink>
      <w:r>
        <w:rPr>
          <w:rFonts w:ascii="Georgia" w:cs="Georgia" w:eastAsia="Georgia" w:hAnsi="Georgia"/>
        </w:rPr>
        <w:t xml:space="preserve"> records precisely what predates the Crypto World's Fair hackathon and what was built during it. </w:t>
      </w:r>
      <w:hyperlink w:history="1" r:id="rId000xk8o8rtwzi9kfktf4h">
        <w:r>
          <w:rPr>
            <w:rStyle w:val="Hyperlink"/>
            <w:rFonts w:ascii="Georgia" w:cs="Georgia" w:eastAsia="Georgia" w:hAnsi="Georgia"/>
          </w:rPr>
          <w:t xml:space="preserve">ARCHITECTURE.md</w:t>
        </w:r>
      </w:hyperlink>
      <w:r>
        <w:rPr>
          <w:rFonts w:ascii="Georgia" w:cs="Georgia" w:eastAsia="Georgia" w:hAnsi="Georgia"/>
        </w:rPr>
        <w:t xml:space="preserve"> is the working document of record and is updated whenever the infrastructure changes; where it and this paper disagree, it is the one that is current.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abstractNum w:abstractNumId="3" w15:restartNumberingAfterBreak="0">
    <w:multiLevelType w:val="hybridMultilevel"/>
    <w:lvl w:ilvl="0" w: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hxjexhhhxclubdhwxr0ho" Type="http://schemas.openxmlformats.org/officeDocument/2006/relationships/hyperlink" Target="https://github.com/Zarsea/faucetchain/blob/main/legacy/evm/" TargetMode="External"/><Relationship Id="rIdimtsqopcrgqkjf8fnvowy" Type="http://schemas.openxmlformats.org/officeDocument/2006/relationships/hyperlink" Target="https://github.com/Zarsea/faucetchain/blob/main/legacy/docs/" TargetMode="External"/><Relationship Id="rIdywr6cssj9ii_2ocb_hx7t" Type="http://schemas.openxmlformats.org/officeDocument/2006/relationships/hyperlink" Target="https://github.com/Zarsea/faucetchain/blob/main/verify_published_roots.py" TargetMode="External"/><Relationship Id="rIdfi98qbunujhdgfhsuanpv" Type="http://schemas.openxmlformats.org/officeDocument/2006/relationships/hyperlink" Target="https://github.com/Zarsea/faucetchain/blob/main/PRIOR_WORK.md" TargetMode="External"/><Relationship Id="rId000xk8o8rtwzi9kfktf4h" Type="http://schemas.openxmlformats.org/officeDocument/2006/relationships/hyperlink" Target="https://github.com/Zarsea/faucetchain/blob/main/ARCHITECTURE.md"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FaucetChain — Micro-distribution that settles on Solana</dc:title>
  <dc:creator>FaucetChain</dc:creator>
  <dc:description>Whitepaper, version 2.1</dc:description>
  <cp:lastModifiedBy>Un-named</cp:lastModifiedBy>
  <cp:revision>1</cp:revision>
  <dcterms:created xsi:type="dcterms:W3CDTF">2026-10-08T22:24:12.343Z</dcterms:created>
  <dcterms:modified xsi:type="dcterms:W3CDTF">2026-10-08T22:24:12.345Z</dcterms:modified>
</cp:coreProperties>
</file>

<file path=docProps/custom.xml><?xml version="1.0" encoding="utf-8"?>
<Properties xmlns="http://schemas.openxmlformats.org/officeDocument/2006/custom-properties" xmlns:vt="http://schemas.openxmlformats.org/officeDocument/2006/docPropsVTypes"/>
</file>