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52"/>
          <w:szCs w:val="5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52"/>
          <w:szCs w:val="5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Car Price Analysis and Modeling Project Documentation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Step 1: Understanding the Dataset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Overview:</w:t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have a dataset with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10,000 rows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and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0C0F0E"/>
            </w14:solidFill>
          </w14:textFill>
        </w:rPr>
        <w:t>10 columns.</w:t>
      </w:r>
    </w:p>
    <w:p>
      <w:pPr>
        <w:pStyle w:val="Default"/>
        <w:numPr>
          <w:ilvl w:val="0"/>
          <w:numId w:val="2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 xml:space="preserve">The dataset is clean right from the start 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–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there are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no missing values!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Data Types: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Categorical Variables: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Brand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Model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s-ES_tradnl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0C0F0E"/>
            </w14:solidFill>
          </w14:textFill>
        </w:rPr>
        <w:t>Fuel Type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fr-FR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0C0F0E"/>
            </w14:solidFill>
          </w14:textFill>
        </w:rPr>
        <w:t>Transmission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Numerical Variables: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Year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(manufacturing year)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Engine Size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Mileage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nl-NL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Doors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Owner Count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Price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Step 2: Data Preparation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Loading the Data:</w:t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read in the dataset using pandas.</w:t>
      </w:r>
    </w:p>
    <w:p>
      <w:pPr>
        <w:pStyle w:val="Default"/>
        <w:numPr>
          <w:ilvl w:val="0"/>
          <w:numId w:val="2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display the first few rows to quickly inspect our data.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Data Cleaning:</w:t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verify that all entries are complete and there are no missing values.</w:t>
      </w:r>
    </w:p>
    <w:p>
      <w:pPr>
        <w:pStyle w:val="Default"/>
        <w:numPr>
          <w:ilvl w:val="0"/>
          <w:numId w:val="2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also check for any formatting issues and potential outliers, which will be useful later on.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Step 3: Exploratory Data Analysis (EDA)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3.1 Summary Statistics and Distributions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Year: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 cars range between 2000 and 2023, with a mean around 2011. This suggests that many of the cars might be older, with a gradual shift towards newer models.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Engine Size: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Ranges from 1.0 to 5.0, with a mean of approximately 3.0. It's intriguing to see if larger engines relate to higher prices.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Mileage: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Values spread from 25 to 300,000. A high standard deviation in mileage (around 86,322) indicates there might be some outliers.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Doors and Owner Count: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Doors typically vary between 2 to 5, and the number of previous owners ranges from 1 to 5.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Price: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Prices range from roughly 2,000 to 18,000, with a mean of about 8,853 and a very similar median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≈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8,858), suggesting a roughly symmetric distribution.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3.2 Boxplot Analysis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0C0F0E"/>
            </w14:solidFill>
          </w14:textFill>
        </w:rPr>
        <w:t>Mileage Boxplot: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de-DE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0C0F0E"/>
            </w14:solidFill>
          </w14:textFill>
        </w:rPr>
        <w:t>Range: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0 to 300,000 miles.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it-IT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it-IT"/>
          <w14:textFill>
            <w14:solidFill>
              <w14:srgbClr w14:val="0C0F0E"/>
            </w14:solidFill>
          </w14:textFill>
        </w:rPr>
        <w:t>Quartiles: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Q1 (25th percentile): around 100,000 miles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Median (50th): approximately 150,000 miles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Q3 (75th): about 200,000 miles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Observation: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Most cars are used (100,000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–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200,000 miles), but we do have some very low and very high mileage entries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—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these outliers might be special cases or require further investigation.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0C0F0E"/>
            </w14:solidFill>
          </w14:textFill>
        </w:rPr>
        <w:t>Price Boxplot: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de-DE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0C0F0E"/>
            </w14:solidFill>
          </w14:textFill>
        </w:rPr>
        <w:t>Range: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2,000 to 18,000.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it-IT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it-IT"/>
          <w14:textFill>
            <w14:solidFill>
              <w14:srgbClr w14:val="0C0F0E"/>
            </w14:solidFill>
          </w14:textFill>
        </w:rPr>
        <w:t>Quartiles: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Q1: about 8,000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Median: 10,000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Q3: 12,000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Observation: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While most cars are priced between 8,000 and 12,000, the extremes (2,000 and 18,000) suggest unique cases worth a closer look.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3.3 Correlation Analysis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For Numerical Variables: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Strong Positive Correlation: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Year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≈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0.66):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Newer cars tend to be priced higher.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Strong Negative Correlation: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Mileage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≈–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0.55):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More miles mean lower car prices.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Moderate Correlation: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Engine Size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≈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0.36)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shows a moderate correlation with price.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Minimal Correlation: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Owner Count and Doors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 –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almost no linear relationship with Price.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  <w:br w:type="textWrapping"/>
        <w:br w:type="textWrapping"/>
        <w:br w:type="textWrapping"/>
        <w:br w:type="textWrapping"/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For Categorical Variables: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calculate the correlation ratio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η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) to understand the influence of these factors: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Brand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η ≈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0.04):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Explains only about 4% of price variability.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it-IT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it-IT"/>
          <w14:textFill>
            <w14:solidFill>
              <w14:srgbClr w14:val="0C0F0E"/>
            </w14:solidFill>
          </w14:textFill>
        </w:rPr>
        <w:t>Model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η ≈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0.05):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Also explains very little.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s-ES_tradnl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0C0F0E"/>
            </w14:solidFill>
          </w14:textFill>
        </w:rPr>
        <w:t>Fuel Type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η ≈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0.26):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Moderately associated with price.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fr-FR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0C0F0E"/>
            </w14:solidFill>
          </w14:textFill>
        </w:rPr>
        <w:t>Transmission (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 xml:space="preserve">η ≈ 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0.25):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Also shows a moderate relationship.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Step 4: Modeling</w:t>
      </w:r>
    </w:p>
    <w:p>
      <w:pPr>
        <w:pStyle w:val="Default"/>
        <w:suppressAutoHyphens w:val="1"/>
        <w:spacing w:before="0" w:after="32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4.1 Selecting a Model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de-DE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0C0F0E"/>
            </w14:solidFill>
          </w14:textFill>
        </w:rPr>
        <w:t>We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1"/>
          <w14:textFill>
            <w14:solidFill>
              <w14:srgbClr w14:val="0C0F0E"/>
            </w14:solidFill>
          </w14:textFill>
        </w:rPr>
        <w:t>’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ll start with a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Linear Regression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model, popular for its simplicity and interpretability.</w:t>
      </w:r>
    </w:p>
    <w:p>
      <w:pPr>
        <w:pStyle w:val="Default"/>
        <w:numPr>
          <w:ilvl w:val="0"/>
          <w:numId w:val="2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Linear regression assumes a linear relationship between our features and the target (Price), making it a great baseline model.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4.2 Building the Model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Features Used: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Engine Size,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Mileage,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Fuel Type, and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0C0F0E"/>
            </w14:solidFill>
          </w14:textFill>
        </w:rPr>
        <w:t>Transmission</w:t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Preprocessing: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use one-hot encoding for the categorical variables (Fuel Type and Transmission) so they can be included in the regression.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Workflow: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Split the dataset into training (80%) and testing (20%) sets.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Construct a pipeline that takes care of pre-processing and model building in one go.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4.3 Evaluating the Model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0"/>
          <w:szCs w:val="30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Metrics: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We evaluate using the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Mean Squared Error (MSE).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For our model, an MSE of around 4,258,241.90 was calculated, and the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Root Mean Squared Error (RMSE)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came out to roughly 2,063.6.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de-DE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0C0F0E"/>
            </w14:solidFill>
          </w14:textFill>
        </w:rPr>
        <w:t>Interpretation: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 RMSE tells us, on average, our predictions are off by about 2,063.6 units (for example, dollars).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Depending on the scale of prices, this error might be acceptable or could suggest areas for further refinement.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it-IT"/>
          <w14:textFill>
            <w14:solidFill>
              <w14:srgbClr w14:val="0C0F0E"/>
            </w14:solidFill>
          </w14:textFill>
        </w:rPr>
        <w:t>Step 5: Conclusion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Key Findings:</w:t>
      </w:r>
    </w:p>
    <w:p>
      <w:pPr>
        <w:pStyle w:val="Default"/>
        <w:numPr>
          <w:ilvl w:val="1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 year of the car and mileage are the most influential factors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—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newer cars have higher prices, and higher mileage tends to lower the price.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Other variables, like engine size, fuel type, and transmission, also play roles though to a lesser extent.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Market Implications: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The typical car in this dataset is priced between 8,000 and 12,000, with our analysis suggesting a good baseline for further market studies.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Future Improvements: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Further fine-tuning could involve exploring more advanced models, additional feature engineering, or incorporating other variables that might explain price variations better.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Statistical Insights:</w:t>
      </w:r>
    </w:p>
    <w:p>
      <w:pPr>
        <w:pStyle w:val="Default"/>
        <w:numPr>
          <w:ilvl w:val="1"/>
          <w:numId w:val="3"/>
        </w:numPr>
        <w:suppressAutoHyphens w:val="1"/>
        <w:spacing w:before="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Our analysis includes a solid confidence interval and a t-test that highlights how electric cars differ significantly in price compared to petrol cars.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center"/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0e0d"/>
          <w:sz w:val="39"/>
          <w:szCs w:val="39"/>
          <w:shd w:val="clear" w:color="auto" w:fill="ffffff"/>
          <w:rtl w:val="0"/>
          <w:lang w:val="fr-FR"/>
          <w14:textFill>
            <w14:solidFill>
              <w14:srgbClr w14:val="0C0F0E"/>
            </w14:solidFill>
          </w14:textFill>
        </w:rPr>
        <w:t>References</w:t>
      </w:r>
      <w:r>
        <w:rPr>
          <w:rFonts w:ascii="Helvetica" w:cs="Helvetica" w:hAnsi="Helvetica" w:eastAsia="Helvetica"/>
          <w:b w:val="1"/>
          <w:bCs w:val="1"/>
          <w:outline w:val="0"/>
          <w:color w:val="0c0e0d"/>
          <w:sz w:val="39"/>
          <w:szCs w:val="39"/>
          <w:shd w:val="clear" w:color="auto" w:fill="ffffff"/>
          <w14:textFill>
            <w14:solidFill>
              <w14:srgbClr w14:val="0C0F0E"/>
            </w14:solidFill>
          </w14:textFill>
        </w:rPr>
        <w:br w:type="textWrapping"/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National Institute of Standards and Technology.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(n.d.).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NIST/SEMATECH e-Handbook of Statistical Methods.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Retrieved from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instrText xml:space="preserve"> HYPERLINK "https://www.itl.nist.gov/div898/handbook/"</w:instrText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NIST Handbook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end" w:fldLock="0"/>
      </w:r>
    </w:p>
    <w:p>
      <w:pPr>
        <w:pStyle w:val="Default"/>
        <w:numPr>
          <w:ilvl w:val="0"/>
          <w:numId w:val="2"/>
        </w:numPr>
        <w:suppressAutoHyphens w:val="1"/>
        <w:spacing w:before="0" w:after="80" w:line="240" w:lineRule="auto"/>
        <w:jc w:val="left"/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lang w:val="en-US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Wikipedia contributors.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(n.d.).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Correlation ratio.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In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Wikipedia, The Free Encyclopedia.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Retrieved from</w:t>
      </w:r>
      <w:r>
        <w:rPr>
          <w:rFonts w:ascii="Helvetica" w:hAnsi="Helvetica" w:hint="default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instrText xml:space="preserve"> HYPERLINK "https://en.wikipedia.org/wiki/Correlation_ratio"</w:instrText>
      </w:r>
      <w:r>
        <w:rPr>
          <w:rStyle w:val="Hyperlink.0"/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Wikipedia: Correlation Ratio</w:t>
      </w:r>
      <w:r>
        <w:rPr>
          <w:rFonts w:ascii="Helvetica" w:cs="Helvetica" w:hAnsi="Helvetica" w:eastAsia="Helvetica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fldChar w:fldCharType="end" w:fldLock="0"/>
      </w:r>
    </w:p>
    <w:p>
      <w:pPr>
        <w:pStyle w:val="Default"/>
        <w:numPr>
          <w:ilvl w:val="0"/>
          <w:numId w:val="2"/>
        </w:numPr>
        <w:suppressAutoHyphens w:val="1"/>
        <w:spacing w:before="0" w:line="240" w:lineRule="auto"/>
        <w:jc w:val="left"/>
        <w:rPr>
          <w:rFonts w:ascii="Helvetica" w:hAnsi="Helvetica"/>
          <w:i w:val="1"/>
          <w:iCs w:val="1"/>
          <w:outline w:val="0"/>
          <w:color w:val="0c0e0d"/>
          <w:sz w:val="32"/>
          <w:szCs w:val="32"/>
          <w:shd w:val="clear" w:color="auto" w:fill="ffffff"/>
          <w:lang w:val="nl-NL"/>
          <w14:textFill>
            <w14:solidFill>
              <w14:srgbClr w14:val="0C0F0E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0C0F0E"/>
            </w14:solidFill>
          </w14:textFill>
        </w:rPr>
        <w:t>James, G., Witten, D., Hastie, T., &amp; Tibshirani, R.</w:t>
      </w:r>
      <w:r>
        <w:rPr>
          <w:rFonts w:ascii="Helvetica" w:hAnsi="Helvetica" w:hint="default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(2013).</w:t>
      </w:r>
      <w:r>
        <w:rPr>
          <w:rFonts w:ascii="Helvetica" w:hAnsi="Helvetica" w:hint="default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0c0e0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C0F0E"/>
            </w14:solidFill>
          </w14:textFill>
        </w:rPr>
        <w:t>An Introduction to Statistical Learning: With Applications in R.</w:t>
      </w:r>
      <w:r>
        <w:rPr>
          <w:rFonts w:ascii="Helvetica" w:hAnsi="Helvetica" w:hint="default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 </w:t>
      </w:r>
      <w:r>
        <w:rPr>
          <w:rFonts w:ascii="Helvetica" w:hAnsi="Helvetica"/>
          <w:i w:val="0"/>
          <w:iCs w:val="0"/>
          <w:outline w:val="0"/>
          <w:color w:val="0c0e0d"/>
          <w:sz w:val="32"/>
          <w:szCs w:val="32"/>
          <w:shd w:val="clear" w:color="auto" w:fill="ffffff"/>
          <w:rtl w:val="0"/>
          <w14:textFill>
            <w14:solidFill>
              <w14:srgbClr w14:val="0C0F0E"/>
            </w14:solidFill>
          </w14:textFill>
        </w:rPr>
        <w:t>New York, NY: Springer.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-920749</wp:posOffset>
            </wp:positionH>
            <wp:positionV relativeFrom="line">
              <wp:posOffset>233045</wp:posOffset>
            </wp:positionV>
            <wp:extent cx="5600700" cy="3505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5-02-19 at 4.23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2-19 at 4.23.46 PM.png" descr="Screenshot 2025-02-19 at 4.23.4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-839469</wp:posOffset>
            </wp:positionH>
            <wp:positionV relativeFrom="line">
              <wp:posOffset>310968</wp:posOffset>
            </wp:positionV>
            <wp:extent cx="5943600" cy="26326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6" name="officeArt object" descr="Screenshot 2025-02-19 at 4.24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2-19 at 4.24.11 PM.png" descr="Screenshot 2025-02-19 at 4.24.1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-722034</wp:posOffset>
            </wp:positionH>
            <wp:positionV relativeFrom="page">
              <wp:posOffset>385640</wp:posOffset>
            </wp:positionV>
            <wp:extent cx="5943600" cy="19540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7" name="officeArt object" descr="Screenshot 2025-02-19 at 4.22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2-19 at 4.22.54 PM.png" descr="Screenshot 2025-02-19 at 4.22.5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-755650</wp:posOffset>
            </wp:positionH>
            <wp:positionV relativeFrom="line">
              <wp:posOffset>-152400</wp:posOffset>
            </wp:positionV>
            <wp:extent cx="3721100" cy="226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5-02-19 at 4.24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2-19 at 4.24.30 PM.png" descr="Screenshot 2025-02-19 at 4.24.3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6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-1093470</wp:posOffset>
            </wp:positionH>
            <wp:positionV relativeFrom="line">
              <wp:posOffset>410764</wp:posOffset>
            </wp:positionV>
            <wp:extent cx="5039504" cy="32424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9" name="officeArt object" descr="Screenshot 2025-02-19 at 4.25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2-19 at 4.25.42 PM.png" descr="Screenshot 2025-02-19 at 4.25.4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04" cy="3242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-595590</wp:posOffset>
            </wp:positionH>
            <wp:positionV relativeFrom="line">
              <wp:posOffset>2848882</wp:posOffset>
            </wp:positionV>
            <wp:extent cx="4631765" cy="32344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5-02-19 at 4.26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2-19 at 4.26.06 PM.png" descr="Screenshot 2025-02-19 at 4.26.0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765" cy="3234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-912534</wp:posOffset>
            </wp:positionH>
            <wp:positionV relativeFrom="page">
              <wp:posOffset>0</wp:posOffset>
            </wp:positionV>
            <wp:extent cx="5943600" cy="21014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31" name="officeArt object" descr="Screenshot 2025-02-19 at 4.26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2-19 at 4.26.33 PM.png" descr="Screenshot 2025-02-19 at 4.26.3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-837882</wp:posOffset>
            </wp:positionH>
            <wp:positionV relativeFrom="line">
              <wp:posOffset>1487728</wp:posOffset>
            </wp:positionV>
            <wp:extent cx="5943600" cy="31261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2" name="officeArt object" descr="Screenshot 2025-02-19 at 4.26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19 at 4.26.52 PM.png" descr="Screenshot 2025-02-19 at 4.26.5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-482123</wp:posOffset>
            </wp:positionH>
            <wp:positionV relativeFrom="line">
              <wp:posOffset>5035153</wp:posOffset>
            </wp:positionV>
            <wp:extent cx="2933700" cy="86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5-02-19 at 4.27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2-19 at 4.27.05 PM.png" descr="Screenshot 2025-02-19 at 4.27.05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6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-837882</wp:posOffset>
            </wp:positionH>
            <wp:positionV relativeFrom="line">
              <wp:posOffset>5857763</wp:posOffset>
            </wp:positionV>
            <wp:extent cx="5943600" cy="31211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4" name="officeArt object" descr="Screenshot 2025-02-19 at 4.27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2-19 at 4.27.20 PM.png" descr="Screenshot 2025-02-19 at 4.27.20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-830341</wp:posOffset>
            </wp:positionH>
            <wp:positionV relativeFrom="page">
              <wp:posOffset>91003</wp:posOffset>
            </wp:positionV>
            <wp:extent cx="59436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3"/>
                <wp:lineTo x="0" y="21663"/>
                <wp:lineTo x="0" y="0"/>
              </wp:wrapPolygon>
            </wp:wrapThrough>
            <wp:docPr id="1073741835" name="officeArt object" descr="Screenshot 2025-02-19 at 4.27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2-19 at 4.27.46 PM.png" descr="Screenshot 2025-02-19 at 4.27.46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-920749</wp:posOffset>
            </wp:positionH>
            <wp:positionV relativeFrom="line">
              <wp:posOffset>81362</wp:posOffset>
            </wp:positionV>
            <wp:extent cx="5943600" cy="31164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6" name="officeArt object" descr="Screenshot 2025-02-19 at 4.28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2-19 at 4.28.05 PM.png" descr="Screenshot 2025-02-19 at 4.28.05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-830341</wp:posOffset>
            </wp:positionH>
            <wp:positionV relativeFrom="line">
              <wp:posOffset>3962400</wp:posOffset>
            </wp:positionV>
            <wp:extent cx="5943600" cy="4869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7" name="officeArt object" descr="Screenshot 2025-02-19 at 4.28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2-19 at 4.28.27 PM.png" descr="Screenshot 2025-02-19 at 4.28.27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-650656</wp:posOffset>
            </wp:positionH>
            <wp:positionV relativeFrom="line">
              <wp:posOffset>4879737</wp:posOffset>
            </wp:positionV>
            <wp:extent cx="5943600" cy="30211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shot 2025-02-19 at 4.31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2-19 at 4.31.27 PM.png" descr="Screenshot 2025-02-19 at 4.31.27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-97174</wp:posOffset>
            </wp:positionH>
            <wp:positionV relativeFrom="page">
              <wp:posOffset>166006</wp:posOffset>
            </wp:positionV>
            <wp:extent cx="5943600" cy="28409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shot 2025-02-19 at 4.30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2-19 at 4.30.16 PM.png" descr="Screenshot 2025-02-19 at 4.30.16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730904</wp:posOffset>
            </wp:positionH>
            <wp:positionV relativeFrom="page">
              <wp:posOffset>3006972</wp:posOffset>
            </wp:positionV>
            <wp:extent cx="5943600" cy="28040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shot 2025-02-19 at 4.29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2-19 at 4.29.52 PM.png" descr="Screenshot 2025-02-19 at 4.29.52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533360</wp:posOffset>
            </wp:positionH>
            <wp:positionV relativeFrom="page">
              <wp:posOffset>5483885</wp:posOffset>
            </wp:positionV>
            <wp:extent cx="5943600" cy="32189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reenshot 2025-02-19 at 4.33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02-19 at 4.33.09 PM.png" descr="Screenshot 2025-02-19 at 4.33.09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555466</wp:posOffset>
            </wp:positionV>
            <wp:extent cx="5943600" cy="3697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42" name="officeArt object" descr="Screenshot 2025-02-19 at 4.36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02-19 at 4.36.12 PM.png" descr="Screenshot 2025-02-19 at 4.36.12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-751760</wp:posOffset>
            </wp:positionH>
            <wp:positionV relativeFrom="line">
              <wp:posOffset>3902336</wp:posOffset>
            </wp:positionV>
            <wp:extent cx="5943600" cy="50765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5-02-19 at 4.36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2-19 at 4.36.44 PM.png" descr="Screenshot 2025-02-19 at 4.36.44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-811649</wp:posOffset>
            </wp:positionH>
            <wp:positionV relativeFrom="page">
              <wp:posOffset>344455</wp:posOffset>
            </wp:positionV>
            <wp:extent cx="5943600" cy="31945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44" name="officeArt object" descr="Screenshot 2025-02-19 at 4.34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5-02-19 at 4.34.16 PM.png" descr="Screenshot 2025-02-19 at 4.34.16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-811649</wp:posOffset>
            </wp:positionH>
            <wp:positionV relativeFrom="line">
              <wp:posOffset>2618323</wp:posOffset>
            </wp:positionV>
            <wp:extent cx="5943600" cy="33819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45" name="officeArt object" descr="Screenshot 2025-02-19 at 4.34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5-02-19 at 4.34.48 PM.png" descr="Screenshot 2025-02-19 at 4.34.48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0"/>
          <w:iCs w:val="0"/>
          <w:outline w:val="0"/>
          <w:color w:val="0c0e0d"/>
          <w:sz w:val="32"/>
          <w:szCs w:val="32"/>
          <w:shd w:val="clear" w:color="auto" w:fill="ffffff"/>
          <w14:textFill>
            <w14:solidFill>
              <w14:srgbClr w14:val="0C0F0E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-534669</wp:posOffset>
            </wp:positionH>
            <wp:positionV relativeFrom="line">
              <wp:posOffset>6055142</wp:posOffset>
            </wp:positionV>
            <wp:extent cx="5943600" cy="29237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46" name="officeArt object" descr="Screenshot 2025-02-19 at 4.35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5-02-19 at 4.35.23 PM.png" descr="Screenshot 2025-02-19 at 4.35.23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6"/>
      <w:footerReference w:type="default" r:id="rId2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c0e0d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4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2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43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5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7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c0e0d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