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Dear Editors of the Journal of Aerospace Information Systems,</w:t>
      </w:r>
    </w:p>
    <w:p>
      <w:pPr>
        <w:spacing w:after="120"/>
      </w:pPr>
      <w:r>
        <w:t>Please consider my manuscript, “Satellite Cyber Response and Trusted Recovery Under Contact and Adversarial Evidence Constraints,” for publication as a Full Paper.</w:t>
      </w:r>
    </w:p>
    <w:p>
      <w:pPr>
        <w:spacing w:after="120"/>
      </w:pPr>
      <w:r>
        <w:t>The paper examines a focused aerospace cybersecurity problem: after a cyber-relevant condition has been established, how should a satellite response policy balance containment, mission continuity, contact constraints, command authorization, and the trustworthiness of recovery evidence?</w:t>
      </w:r>
    </w:p>
    <w:p>
      <w:pPr>
        <w:spacing w:after="120"/>
      </w:pPr>
      <w:r>
        <w:t>The manuscript reports two separately frozen software-in-the-loop studies that are analyzed as distinct statistical populations. Study 1 contains 720 VALID observations across 24 frozen cells. Mission-state dependence was not demonstrated on the predeclared primary outcomes. Modeled missed contact delayed the ground-authorized response path, and reduced policy-visible evidence changed trusted-recovery behavior. The study supports condition-specific trade-offs rather than a universal policy ranking.</w:t>
      </w:r>
    </w:p>
    <w:p>
      <w:pPr>
        <w:spacing w:after="120"/>
      </w:pPr>
      <w:r>
        <w:t>Study 2 contains 3,872 VALID observations across 85 frozen cells with zero INVALID attempts. It extends the design to omitted, stale or replayed, contradictory, and manipulated evidence; bounded producer compromise; multiple modeled contact regimes; context ablations; and adversary-budget stress. Under bounded producer compromise, evidence could satisfy policy-visible authentication and freshness requirements while still being false relative to research-only adjudication truth. An independent implementation recomputed the frozen Study 2 numerical result families with zero mismatches.</w:t>
      </w:r>
    </w:p>
    <w:p>
      <w:pPr>
        <w:spacing w:after="120"/>
      </w:pPr>
      <w:r>
        <w:t>I believe the paper fits JAIS because the aerospace setting is part of the research design, not simply an application example. Intermittent contact, command authority, mission continuity, software recovery, evidence integrity, and constrained recovery opportunities directly shape the evaluated behavior. The manuscript does not claim operational flight validation, radio-frequency performance, certification, or universal policy superiority. Study 2 timing values are deterministic logical software time, and the two study populations are not pooled.</w:t>
      </w:r>
    </w:p>
    <w:p>
      <w:pPr>
        <w:spacing w:after="120"/>
      </w:pPr>
      <w:r>
        <w:t>The supporting research record is public. Study 1 is archived on Zenodo under version DOI 10.5281/zenodo.22181540 and concept DOI 10.5281/zenodo.22181539. Study 2 is archived separately under version DOI 10.5281/zenodo.22289114 and concept DOI 10.5281/zenodo.22289113. The research repository is https://github.com/Zartharas/mission-aware-satellite-cyber-recovery.</w:t>
      </w:r>
    </w:p>
    <w:p>
      <w:pPr>
        <w:spacing w:after="120"/>
      </w:pPr>
      <w:r>
        <w:t>For transparency, the broader research program developed from doctoral work whose dissertation manuscript is archived through ProQuest. OpenAI ChatGPT was used for disclosed editorial, source-checking, reproducibility-documentation, and audit-workflow support after the relevant experimental and analytical freezes. It did not generate experimental observations, choose experimental treatments, alter frozen populations or exclusions, modify the frozen Study 2 analyzer, or operate the evaluated response policies.</w:t>
      </w:r>
    </w:p>
    <w:p>
      <w:pPr>
        <w:spacing w:after="120"/>
      </w:pPr>
      <w:r>
        <w:t>The work used no human participants, operational spacecraft, operational ground stations, operational credentials, classified data, proprietary mission telemetry, or radio-frequency transmission or interference. The manuscript is not under consideration elsewhere. The research received no external funding, and I have no competing financial or non-financial interests to declare.</w:t>
      </w:r>
    </w:p>
    <w:p>
      <w:pPr>
        <w:spacing w:after="120"/>
      </w:pPr>
      <w:r>
        <w:t>Thank you for considering this work for the Journal of Aerospace Information Systems.</w:t>
      </w:r>
    </w:p>
    <w:p>
      <w:pPr>
        <w:spacing w:after="120"/>
      </w:pPr>
      <w:r>
        <w:t>Sincerely,</w:t>
      </w:r>
    </w:p>
    <w:p>
      <w:pPr>
        <w:spacing w:after="120"/>
      </w:pPr>
      <w:r>
        <w:t>Aman Kumar Singh, MS, DSc</w:t>
        <w:br/>
      </w:r>
      <w:r>
        <w:t>Independent Researcher</w:t>
        <w:br/>
      </w:r>
      <w:r>
        <w:t>The Woodlands, Texas 77380, United States</w:t>
        <w:br/>
      </w:r>
      <w:r>
        <w:t>ORCID: 0009-0008-9752-3743</w:t>
        <w:br/>
      </w:r>
      <w:r>
        <w:t>asingh65430@ucumberlands.edu</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Journal of Aerospace Information Systems</dc:title>
  <dc:subject/>
  <dc:creator>Aman Kumar Singh</dc:creator>
  <cp:keywords/>
  <dc:description>generated by python-docx</dc:description>
  <cp:lastModifiedBy>Aman Kumar Singh</cp:lastModifiedBy>
  <cp:revision>1</cp:revision>
  <dcterms:created xsi:type="dcterms:W3CDTF">2013-12-23T23:15:00Z</dcterms:created>
  <dcterms:modified xsi:type="dcterms:W3CDTF">2013-12-23T23:15:00Z</dcterms:modified>
  <cp:category/>
</cp:coreProperties>
</file>