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September 5, 2026</w:t>
      </w:r>
    </w:p>
    <w:p>
      <w:r>
        <w:t>Editor-in-Chief</w:t>
        <w:br/>
        <w:t>Acta Astronautica</w:t>
        <w:br/>
        <w:t>Elsevier</w:t>
      </w:r>
    </w:p>
    <w:p>
      <w:r>
        <w:t>Dear Editor,</w:t>
      </w:r>
    </w:p>
    <w:p>
      <w:pPr>
        <w:keepLines w:val="0"/>
      </w:pPr>
      <w:r>
        <w:t>Please consider the manuscript "Contact-Aware Cryptographic Agility for Trusted Post-Compromise Recovery in Intermittently Connected Space Systems" for publication in Acta Astronautica.</w:t>
      </w:r>
    </w:p>
    <w:p>
      <w:pPr>
        <w:keepLines w:val="0"/>
      </w:pPr>
      <w:r>
        <w:t>The manuscript addresses a recovery problem for long-lived space systems: after predecessor credentials or cryptographic state are compromised, can a successor cryptographic epoch be established and confirmed within finite intermittent-contact opportunities? The frozen deterministic study evaluates 3,456 factorial positions spanning three exact ML-KEM/ML-DSA profiles, four recovery policies, four equal-total-capacity contact regimes, four bounded non-cryptanalytic disruptions, six compromise offsets, and three logical deadlines.</w:t>
      </w:r>
    </w:p>
    <w:p>
      <w:pPr>
        <w:keepLines w:val="0"/>
      </w:pPr>
      <w:r>
        <w:t>The prespecified primary comparison is deliberately retained as a null result. Contact-aware staged recovery and ordinary staged recovery achieved the same modeled trusted-recovery success proportion, both overall and in every prespecified stratum. The manuscript therefore does not claim policy superiority. Instead, it shows how standardized cryptographic-object burden, contact timing, and logical deadline condition recovery feasibility, while policy choice redistributes predecessor exposure, control unavailability, dual-epoch overlap, modeled transfer burden, attempts, and failure classification.</w:t>
      </w:r>
    </w:p>
    <w:p>
      <w:pPr>
        <w:keepLines w:val="0"/>
      </w:pPr>
      <w:r>
        <w:t>The manuscript is well aligned with Acta Astronautica because it treats cryptographic agility as a space-systems design and trusted-recovery problem, situated against current PQC, crypto-agility, satellite cybersecurity, and CCSDS work. The evidence boundary is explicit: the study does not claim onboard cryptographic performance, RF performance, orbital realism, CCSDS approval of an ML-KEM/ML-DSA profile, flight readiness, or operational validation. Logical slots have no physical-time conversion, and the separately implemented reference model is a same-repository reproducibility check rather than external replication.</w:t>
      </w:r>
    </w:p>
    <w:p>
      <w:pPr>
        <w:keepLines w:val="0"/>
      </w:pPr>
      <w:r>
        <w:t>The complete modeled population, code, and frozen findings are available in a public repository and are bound by recorded SHA-256 values. The study involved no human participants, animals, live spacecraft operations, unauthorized access, or RF experimentation. It received no specific grant from funding agencies in the public, commercial, or not-for-profit sectors, and I declare no competing interests.</w:t>
      </w:r>
    </w:p>
    <w:p>
      <w:pPr>
        <w:keepLines w:val="0"/>
      </w:pPr>
      <w:r>
        <w:t>Thank you for your consideration.</w:t>
      </w:r>
    </w:p>
    <w:p>
      <w:r>
        <w:t>Sincerely,</w:t>
        <w:br/>
        <w:t>Aman Kumar Singh, MS, DSc</w:t>
        <w:br/>
        <w:t>Independent Researcher</w:t>
        <w:br/>
        <w:t>The Woodlands, Texas, United States</w:t>
        <w:br/>
        <w:t>asingh65430@ucumberlands.edu</w:t>
        <w:br/>
        <w:t>https://orcid.org/0009-0008-9752-3743</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Acta Astronautica</dc:title>
  <dc:subject>Submission cover letter for Study 8 / Paper 4</dc:subject>
  <dc:creator>Aman Kumar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