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sz w:val="32"/>
        </w:rPr>
        <w:t>Highlights</w:t>
      </w:r>
    </w:p>
    <w:p>
      <w:pPr>
        <w:pStyle w:val="ListBullet"/>
      </w:pPr>
      <w:r>
        <w:t>All four recovery policies achieved identical 73.4954% modeled success.</w:t>
      </w:r>
    </w:p>
    <w:p>
      <w:pPr>
        <w:pStyle w:val="ListBullet"/>
      </w:pPr>
      <w:r>
        <w:t>Contact-aware staged recovery did not improve the frozen primary endpoint.</w:t>
      </w:r>
    </w:p>
    <w:p>
      <w:pPr>
        <w:pStyle w:val="ListBullet"/>
      </w:pPr>
      <w:r>
        <w:t>Larger standardized cryptographic objects reduced deadline-feasible recovery.</w:t>
      </w:r>
    </w:p>
    <w:p>
      <w:pPr>
        <w:pStyle w:val="ListBullet"/>
      </w:pPr>
      <w:r>
        <w:t>Equal full-cycle capacity produced different outcomes under different timing.</w:t>
      </w:r>
    </w:p>
    <w:p>
      <w:pPr>
        <w:pStyle w:val="ListBullet"/>
      </w:pPr>
      <w:r>
        <w:t>Policy choice redistributed modeled state exposure and availability costs.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