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60"/>
        <w:jc w:val="center"/>
        <w:rPr/>
      </w:pPr>
      <w:r>
        <w:rPr>
          <w:b/>
          <w:color w:val="000000"/>
          <w:sz w:val="24"/>
        </w:rPr>
        <w:t>Satellite Cyber Response and Trusted Recovery Under Contact and Adversarial Evidence Constraints</w:t>
      </w:r>
    </w:p>
    <w:p>
      <w:pPr>
        <w:pStyle w:val="Normal"/>
        <w:spacing w:lineRule="auto" w:line="240" w:before="0" w:after="0"/>
        <w:jc w:val="center"/>
        <w:rPr/>
      </w:pPr>
      <w:r>
        <w:rPr>
          <w:b/>
          <w:sz w:val="20"/>
        </w:rPr>
        <w:t>Aman Kumar Singh, M.S., D.Sc.</w:t>
      </w:r>
      <w:r>
        <w:rPr>
          <w:rStyle w:val="FootnoteReference"/>
          <w:b/>
          <w:sz w:val="20"/>
        </w:rPr>
        <w:footnoteReference w:customMarkFollows="1" w:id="2"/>
        <w:t>*</w:t>
      </w:r>
    </w:p>
    <w:p>
      <w:pPr>
        <w:pStyle w:val="Normal"/>
        <w:spacing w:lineRule="auto" w:line="240" w:before="0" w:after="0"/>
        <w:jc w:val="center"/>
        <w:rPr/>
      </w:pPr>
      <w:r>
        <w:rPr>
          <w:sz w:val="20"/>
        </w:rPr>
        <w:t>Independent Researcher, The Woodlands, Texas 77380</w:t>
      </w:r>
    </w:p>
    <w:p>
      <w:pPr>
        <w:pStyle w:val="Heading2"/>
        <w:spacing w:lineRule="auto" w:line="480" w:before="160" w:after="0"/>
        <w:rPr/>
      </w:pPr>
      <w:r>
        <w:rPr>
          <w:rFonts w:ascii="Times New Roman" w:hAnsi="Times New Roman"/>
          <w:color w:val="000000"/>
          <w:sz w:val="20"/>
        </w:rPr>
        <w:t>Abstract</w:t>
      </w:r>
    </w:p>
    <w:p>
      <w:pPr>
        <w:pStyle w:val="Normal"/>
        <w:spacing w:lineRule="auto" w:line="480" w:before="0" w:after="0"/>
        <w:rPr/>
      </w:pPr>
      <w:r>
        <w:rPr>
          <w:sz w:val="20"/>
        </w:rPr>
        <w:t>Two separately frozen software-in-the-loop studies evaluated deterministic rule-based satellite cyber-response and recovery policies under mission, contact, authorization, and evidence constraints. Study 1 included 720 observations across 24 frozen cells. Mission-state dependence was not demonstrated on the predeclared primary outcomes, whereas modeled missed contact delayed the ground-authorized response path and reduced policy-visible evidence changed trusted-recovery behavior. Study 2 included 3,872 observations across 85 frozen cells and extended the design to adversarial evidence conditions, multiple contact regimes, context ablations, and bounded producer compromise. Under bounded producer compromise, evidence could remain sufficiently authenticated and current for evidence-qualified recovery yet still be false relative to research-only adjudication truth. Contact and authorization conditions produced policy-specific safety and recovery trade-offs, and independent recomputation reproduced all frozen Study 2 numerical results with zero mismatches. The combined evidence shows that satellite cyber-response value depends on evidence integrity, authorization, contact availability, and policy context rather than a universal policy ranking. The findings are limited to controlled logical software conditions and do not establish operational flight readiness, radio-frequency performance, or certification.</w:t>
      </w:r>
    </w:p>
    <w:p>
      <w:pPr>
        <w:pStyle w:val="Normal"/>
        <w:spacing w:lineRule="auto" w:line="480" w:before="0" w:after="0"/>
        <w:rPr/>
      </w:pPr>
      <w:r>
        <w:rPr>
          <w:b/>
          <w:color w:val="000000"/>
          <w:sz w:val="20"/>
        </w:rPr>
        <w:t>Keywords:</w:t>
      </w:r>
      <w:r>
        <w:rPr>
          <w:color w:val="000000"/>
          <w:sz w:val="20"/>
        </w:rPr>
        <w:t xml:space="preserve"> satellite cybersecurity; mission-aware cybersecurity; cyber resilience; trusted recovery; software-in-the-loop; cyber incident response</w:t>
      </w:r>
    </w:p>
    <w:p>
      <w:pPr>
        <w:pStyle w:val="Heading1"/>
        <w:spacing w:lineRule="auto" w:line="480" w:before="160" w:after="0"/>
        <w:rPr/>
      </w:pPr>
      <w:r>
        <w:rPr>
          <w:rFonts w:ascii="Times New Roman" w:hAnsi="Times New Roman"/>
          <w:color w:val="000000"/>
          <w:sz w:val="20"/>
        </w:rPr>
        <w:t>1. Introduction</w:t>
      </w:r>
    </w:p>
    <w:p>
      <w:pPr>
        <w:pStyle w:val="Normal"/>
        <w:spacing w:lineRule="auto" w:line="480" w:before="0" w:after="0"/>
        <w:rPr/>
      </w:pPr>
      <w:r>
        <w:rPr>
          <w:color w:val="000000"/>
          <w:sz w:val="20"/>
        </w:rPr>
        <w:t>Spacecraft cybersecurity is a mission-assurance problem as well as an information-security problem. A response that blocks unauthorized activity can also reduce mission service or command availability, and nominal restoration does not establish that software, configuration, authorization, or recovery evidence is trustworthy. Intermittent ground contact makes those trade-offs more consequential because response and recovery can depend on when authorization and evidence are available [1].</w:t>
      </w:r>
    </w:p>
    <w:p>
      <w:pPr>
        <w:pStyle w:val="Normal"/>
        <w:spacing w:lineRule="auto" w:line="480" w:before="0" w:after="0"/>
        <w:rPr/>
      </w:pPr>
      <w:r>
        <w:rPr>
          <w:color w:val="000000"/>
          <w:sz w:val="20"/>
        </w:rPr>
        <w:t>Prior work provides the necessary foundations without resolving the post-detection comparison studied here. Mission Aware cybersecurity links unacceptable mission losses to system functions and cyberattack evidence [2]; spacecraft fault detection, isolation, recovery, and trusted-autonomy research addresses safing and restoration under state and communication constraints [3, 4]; and cyber-resilience engineering emphasizes anticipation, resistance, recovery, and adaptation [1]. Satellite cybersecurity testbeds, datasets, intrusion-detection studies, and risk analyses provide repeatable environments and upstream detection/exposure evidence [5, 6, 7, 8, 9, 10, 11]. The narrower question here begins after a cyber-relevant condition is established: how do alternative response and recovery policies behave when mission service, contact, authorization, and evidence quality are explicit constraints?</w:t>
      </w:r>
    </w:p>
    <w:p>
      <w:pPr>
        <w:pStyle w:val="Normal"/>
        <w:spacing w:lineRule="auto" w:line="480" w:before="0" w:after="0"/>
        <w:rPr/>
      </w:pPr>
      <w:r>
        <w:rPr>
          <w:color w:val="000000"/>
          <w:sz w:val="20"/>
        </w:rPr>
        <w:t>The article reports two separately frozen software-in-the-loop studies. Study 1 contains 720 VALID observations across 24 cells and evaluates mission state, one modeled missed-contact condition, controlled evidence omission/reduction, trusted recovery, and condition-specific multi-objective policy trade-offs. Study 2 contains a separate 3,872-observation population across 85 cells with zero INVALID attempts. It prospectively expands the evidence model to omission, stale/replayed evidence, contradiction, post-signature manipulation, and bounded producer compromise; adds multiple contact regimes, adversary-budget stress, and context ablations; and compares interpretable deterministic policy families. The populations are never pooled.</w:t>
      </w:r>
    </w:p>
    <w:p>
      <w:pPr>
        <w:pStyle w:val="Normal"/>
        <w:spacing w:lineRule="auto" w:line="480" w:before="0" w:after="0"/>
        <w:rPr/>
      </w:pPr>
      <w:r>
        <w:rPr>
          <w:sz w:val="20"/>
        </w:rPr>
        <w:t>Recovery is treated as evidence-qualified rather than merely operational. Study 2 further separates policy-visible evidence qualification from research-only adjudication truth, permitting the experiment to test whether authentic/current-looking evidence can support recovery yet still be false when its producer is compromised. The adjudication oracle is never selector input.</w:t>
      </w:r>
    </w:p>
    <w:p>
      <w:pPr>
        <w:pStyle w:val="Normal"/>
        <w:spacing w:lineRule="auto" w:line="480" w:before="0" w:after="0"/>
        <w:rPr/>
      </w:pPr>
      <w:r>
        <w:rPr>
          <w:color w:val="000000"/>
          <w:sz w:val="20"/>
        </w:rPr>
        <w:t>The contribution is deliberately bounded: a reproducible satellite-specific method for comparing post-detection response and trusted recovery under explicit contact, authorization, mission, and evidence assumptions; a controlled demonstration that evidence authenticity/currentness is not equivalent to objective correctness under bounded producer compromise; and a pair of integrity-frozen empirical records retaining null, adverse, and conditional outcomes. No weighted global policy score or universal policy rank is used.</w:t>
      </w:r>
    </w:p>
    <w:p>
      <w:pPr>
        <w:pStyle w:val="Normal"/>
        <w:spacing w:lineRule="auto" w:line="480" w:before="0" w:after="0"/>
        <w:rPr/>
      </w:pPr>
      <w:r>
        <w:rPr>
          <w:color w:val="000000"/>
          <w:sz w:val="20"/>
        </w:rPr>
        <w:t>Experiments used researcher-controlled NASA Operational Simulator for Small Satellites (NOS3), Fortytwo, and core Flight System components [5]. They did not access operational spacecraft or ground stations, transmit or interfere with radio-frequency systems, use operational credentials, measure real operator or link latency, or establish flight readiness or certification. Study-2 time values are deterministic logical software time. The remainder of the paper reviews the closest prior work, defines the two frozen designs, reports their results separately, and synthesizes their implications and limitations.</w:t>
      </w:r>
    </w:p>
    <w:p>
      <w:pPr>
        <w:pStyle w:val="Heading1"/>
        <w:spacing w:lineRule="auto" w:line="480" w:before="160" w:after="0"/>
        <w:rPr/>
      </w:pPr>
      <w:r>
        <w:rPr>
          <w:rFonts w:ascii="Times New Roman" w:hAnsi="Times New Roman"/>
          <w:color w:val="000000"/>
          <w:sz w:val="20"/>
        </w:rPr>
        <w:t>2. Background and Related Work</w:t>
      </w:r>
    </w:p>
    <w:p>
      <w:pPr>
        <w:pStyle w:val="Normal"/>
        <w:spacing w:lineRule="auto" w:line="480" w:before="0" w:after="0"/>
        <w:rPr/>
      </w:pPr>
      <w:r>
        <w:rPr>
          <w:sz w:val="20"/>
        </w:rPr>
        <w:t>Mission Aware cybersecurity is the principal systems-theoretic framing: mission requirements and unacceptable losses are traced through functions, architecture, dependencies, and cyber consequences [2]. Cyber-resilience guidance complements that framing by separating the ability to withstand, recover from, and adapt to adverse conditions [1], and current incident-response guidance treats response and recovery as part of broader risk management [12]. These frameworks motivate the separate containment, mission, command-availability, recovery, and evidence outcomes used here; they are not claimed as new theory or as standards compliance. The Study-1 mission-state proposition is retained despite a null primary result because theoretical relevance does not imply that every implementation will exhibit a measurable state interaction.</w:t>
      </w:r>
    </w:p>
    <w:p>
      <w:pPr>
        <w:pStyle w:val="Normal"/>
        <w:spacing w:lineRule="auto" w:line="480" w:before="0" w:after="0"/>
        <w:rPr/>
      </w:pPr>
      <w:r>
        <w:rPr>
          <w:color w:val="000000"/>
          <w:sz w:val="20"/>
        </w:rPr>
        <w:t>Spacecraft fault detection, isolation, and recovery and autonomy research establishes the engineering relevance of safing, restoration, and operation without immediate ground intervention [4, 3]. The present experiments therefore model contact as a controlled factor, not as orbital geometry, antenna availability, radio propagation, or operator latency.</w:t>
      </w:r>
    </w:p>
    <w:p>
      <w:pPr>
        <w:pStyle w:val="Normal"/>
        <w:spacing w:lineRule="auto" w:line="480" w:before="0" w:after="0"/>
        <w:rPr/>
      </w:pPr>
      <w:r>
        <w:rPr>
          <w:color w:val="000000"/>
          <w:sz w:val="20"/>
        </w:rPr>
        <w:t>Trusted recovery is stricter than return to nominal operation. Space-security guidance includes cyber-safe and known-state recovery concepts [13], and broader cyber-physical literature studies recovery controllers and self-healing systems [14]. Here, recovery requires the frozen evidence appropriate to each study. Study 2 adds the distinction between evidence that satisfies the policy-visible qualification rules and hidden research truth, allowing producer trust to be evaluated separately from signature or freshness checks.</w:t>
      </w:r>
    </w:p>
    <w:p>
      <w:pPr>
        <w:pStyle w:val="Normal"/>
        <w:spacing w:lineRule="auto" w:line="480" w:before="0" w:after="0"/>
        <w:rPr/>
      </w:pPr>
      <w:r>
        <w:rPr>
          <w:color w:val="000000"/>
          <w:sz w:val="20"/>
        </w:rPr>
        <w:t>Satellite cyber testbeds and datasets show that simulation, attack generation, and telemetry collection are established capabilities [5, 6, 7, 8, 15, 16]. Detection-focused research and space-sector exposure analyses address important upstream questions [9, 10, 11, 17, 18, 19]. Temporal-risk work also confirms that mission or time context is active prior art rather than a novelty claim [20]. The present research object is different: the consequences of alternative response/recovery choices after a modeled cyber-relevant state has already been established.</w:t>
      </w:r>
    </w:p>
    <w:p>
      <w:pPr>
        <w:pStyle w:val="Normal"/>
        <w:spacing w:lineRule="auto" w:line="480" w:before="0" w:after="0"/>
        <w:rPr/>
      </w:pPr>
      <w:r>
        <w:rPr>
          <w:color w:val="000000"/>
          <w:sz w:val="20"/>
        </w:rPr>
        <w:t>The frozen event families are cross-walked to Space Attack Research and Tactic Analysis (SPARTA) behavioral identifiers in the public traceability record; that crosswalk is taxonomy correspondence rather than reproduction of complete operational attack chains [13]. The experiments do not model real ground-station compromise, supply-chain compromise, key theft, or radio-frequency attack mechanisms.</w:t>
      </w:r>
    </w:p>
    <w:p>
      <w:pPr>
        <w:pStyle w:val="Normal"/>
        <w:spacing w:lineRule="auto" w:line="480" w:before="0" w:after="0"/>
        <w:rPr/>
      </w:pPr>
      <w:r>
        <w:rPr>
          <w:sz w:val="20"/>
        </w:rPr>
        <w:t>The resulting gap is narrow. Prior work establishes mission-aware analysis, autonomy, fault recovery, cyber resilience, testbeds, detection, and risk assessment. The evidence reported here instead compares multiple post-detection policies under varying modeled contact and evidence conditions, keeps security and mission outcomes separate, and retains conditions in which the context-sensitive policy is equivalent to or worse than simpler alternatives.</w:t>
      </w:r>
    </w:p>
    <w:p>
      <w:pPr>
        <w:pStyle w:val="Heading1"/>
        <w:spacing w:lineRule="auto" w:line="480" w:before="160" w:after="0"/>
        <w:rPr/>
      </w:pPr>
      <w:r>
        <w:rPr>
          <w:rFonts w:ascii="Times New Roman" w:hAnsi="Times New Roman"/>
          <w:color w:val="000000"/>
          <w:sz w:val="20"/>
        </w:rPr>
        <w:t>3. Methods</w:t>
      </w:r>
    </w:p>
    <w:p>
      <w:pPr>
        <w:pStyle w:val="Heading2"/>
        <w:spacing w:lineRule="auto" w:line="480" w:before="160" w:after="0"/>
        <w:rPr/>
      </w:pPr>
      <w:r>
        <w:rPr>
          <w:rFonts w:ascii="Times New Roman" w:hAnsi="Times New Roman"/>
          <w:color w:val="000000"/>
          <w:sz w:val="20"/>
        </w:rPr>
        <w:t>3.1 Study 1 design and research boundary</w:t>
      </w:r>
    </w:p>
    <w:p>
      <w:pPr>
        <w:pStyle w:val="Normal"/>
        <w:spacing w:lineRule="auto" w:line="480" w:before="0" w:after="0"/>
        <w:rPr/>
      </w:pPr>
      <w:r>
        <w:rPr>
          <w:color w:val="000000"/>
          <w:sz w:val="20"/>
        </w:rPr>
        <w:t>Study 1 used controlled software-in-the-loop experimentation in a NOS3/Fortytwo and core Flight System environment on researcher-controlled infrastructure. A trial combined a frozen cyber event, mission state, evidence condition, contact condition, requested response policy, recovery behavior, and campaign seed. The estimand-driven design contained 24 frozen cells with 30 seeds per cell, yielding 720 VALID observations. Nine INVALID attempts were retained as provenance and retried only for the same seed/cell; they were excluded from statistical membership.</w:t>
      </w:r>
    </w:p>
    <w:p>
      <w:pPr>
        <w:pStyle w:val="Normal"/>
        <w:spacing w:lineRule="auto" w:line="480" w:before="0" w:after="0"/>
        <w:rPr/>
      </w:pPr>
      <w:r>
        <w:rPr>
          <w:color w:val="000000"/>
          <w:sz w:val="20"/>
        </w:rPr>
        <w:t>The event families represented an unauthorized but syntactically valid laboratory command (E1), replay of a previously authorized laboratory command (E2), a compromised synthetic software/update context (E3), and reduction/suppression of selected policy-visible evidence fields (E4). Mission states covered nominal, low-power/eclipse, and software-update/recovery contexts as required by the proposition blocks. C0 represented immediate modeled contact and C1 one synthetic missed-contact window. T0 was the full-evidence condition; T1 reduced selected policy-visible evidence. T1 was not a stale, contradictory, forged, or producer-compromise treatment.</w:t>
      </w:r>
    </w:p>
    <w:p>
      <w:pPr>
        <w:pStyle w:val="Normal"/>
        <w:spacing w:lineRule="auto" w:line="480" w:before="0" w:after="0"/>
        <w:rPr/>
      </w:pPr>
      <w:r>
        <w:rPr>
          <w:color w:val="000000"/>
          <w:sz w:val="20"/>
        </w:rPr>
        <w:t>The adversary model began from these frozen post-access states. Initial exploitation, credential theft, radio-frequency interception, key extraction, supply-chain compromise, data exfiltration, and physical counterspace attack were outside scope. Immutable treatment identity, seeds, validity rules, experiment ground truth, and provenance controls remained outside the simulated adversary boundary. Runtime policies could use only the context exposed through the frozen policy interface and could not access post-run truth or recovery adjudication as an oracle.</w:t>
      </w:r>
    </w:p>
    <w:p>
      <w:pPr>
        <w:pStyle w:val="Normal"/>
        <w:spacing w:lineRule="auto" w:line="480" w:before="0" w:after="0"/>
        <w:rPr/>
      </w:pPr>
      <w:r>
        <w:rPr>
          <w:color w:val="000000"/>
          <w:sz w:val="20"/>
        </w:rPr>
        <w:t>Seven response mechanisms appeared in the final matrix: observation only (P0), identity/source isolation (P1), selective command restriction (P2), a modeled safe-mode transition (P4), verified rollback (P5), wait for ground authorization (P6), and the deterministic mission-aware selector (P7). P7 was a frozen rule-based mechanism, not a learned model. Under P6, immediate or delayed synthetic authorization controlled when the policy could proceed; after authorization, recovery delegated to the P5 rollback mechanism without relabeling the requested/effective P6 policy. ENTER_SAFE_MODE was an experimental software action, not validation of a native spacecraft safe mode.</w:t>
      </w:r>
    </w:p>
    <w:p>
      <w:pPr>
        <w:pStyle w:val="Normal"/>
        <w:spacing w:lineRule="auto" w:line="480" w:before="0" w:after="0"/>
        <w:rPr/>
      </w:pPr>
      <w:r>
        <w:rPr>
          <w:color w:val="000000"/>
          <w:sz w:val="20"/>
        </w:rPr>
        <w:t>Trusted recovery required all applicable frozen criteria, including approved software/configuration identity, integrity and authorization evidence, current measured-state evidence, restored authorized command capability, ground/spacecraft state agreement, required telemetry and health checks, absence of modeled residual unauthorized state, and a complete recovery record. Primary metrics included unauthorized-effect completion (M01), mission-objective completion (M02), safety-invariant violations (M03), containment time (M04), verified trusted-recovery time (M05), legitimate-command rejection (M06), state-divergence duration (M07), and evidence completeness (M08). The P5 Pareto analysis used only M01, M02, M03, M05, and M06.</w:t>
      </w:r>
    </w:p>
    <w:p>
      <w:pPr>
        <w:pStyle w:val="Normal"/>
        <w:spacing w:lineRule="auto" w:line="480" w:before="0" w:after="0"/>
        <w:rPr/>
      </w:pPr>
      <w:r>
        <w:rPr>
          <w:color w:val="000000"/>
          <w:sz w:val="20"/>
        </w:rPr>
        <w:t>For M04/M05, the frozen Study-1 horizon was 30 s and unobserved events were right-censored rather than imputed. The locked population contained 180 observed M05 recovery events and 540 censored observations. Every cell contained exactly 30 VALID repetitions and all 30 campaign seeds were represented.</w:t>
      </w:r>
    </w:p>
    <w:p>
      <w:pPr>
        <w:pStyle w:val="Heading2"/>
        <w:spacing w:lineRule="auto" w:line="480" w:before="160" w:after="0"/>
        <w:rPr/>
      </w:pPr>
      <w:r>
        <w:rPr>
          <w:rFonts w:ascii="Times New Roman" w:hAnsi="Times New Roman"/>
          <w:color w:val="000000"/>
          <w:sz w:val="20"/>
        </w:rPr>
        <w:t>3.2 Study 1 statistical analysis and reproducibility</w:t>
      </w:r>
    </w:p>
    <w:p>
      <w:pPr>
        <w:pStyle w:val="Normal"/>
        <w:spacing w:lineRule="auto" w:line="480" w:before="0" w:after="0"/>
        <w:rPr/>
      </w:pPr>
      <w:r>
        <w:rPr>
          <w:color w:val="000000"/>
          <w:sz w:val="20"/>
        </w:rPr>
        <w:t>Analysis used exactly the 720 frozen VALID observations, with campaign seed as the blocking/resampling unit. P1 evaluated mission-state dependence on the predeclared M01, M02, M03, and M06 outcomes. P2 compared P6 and P7 across C0/C1 using 30-s restricted mean survival time for M04/M05 and a paired duration contrast for M07, with seed-block bootstrap intervals. P3 compared trusted recovery under T0/T1. P4 traced actual effective policy/action and consequences from execution metadata rather than inferring selection from expected policy or hidden truth. P5 used condition-specific Pareto comparison across nine frozen groups; lower M01/M03/M05/M06 and higher M02 were preferred. Twenty thousand paired seed-bootstrap replicates provided marginal 95% intervals. No p-values, weighted primary score, or global policy ranking were computed for P5.</w:t>
      </w:r>
    </w:p>
    <w:p>
      <w:pPr>
        <w:pStyle w:val="Normal"/>
        <w:spacing w:lineRule="auto" w:line="480" w:before="0" w:after="0"/>
        <w:rPr/>
      </w:pPr>
      <w:r>
        <w:rPr>
          <w:sz w:val="20"/>
        </w:rPr>
        <w:t>The authoritative ledger contains 729 records: 720 VALID and nine INVALID attempts. Ten VALID observations were executed on two earlier orchestration/finalization commits, whereas 710 used the final execution baseline. A predeclared analytical-exchangeability review found no scientific-core change, and a 29-seed/696-observation complete-block sensitivity restricted to the final execution commit preserved every P7 Pareto-front classification, pairwise relation, and primary-metric direction. The sensitivity did not replace the 720-observation population.</w:t>
      </w:r>
    </w:p>
    <w:p>
      <w:pPr>
        <w:pStyle w:val="Normal"/>
        <w:spacing w:lineRule="auto" w:line="480" w:before="0" w:after="0"/>
        <w:rPr/>
      </w:pPr>
      <w:r>
        <w:rPr>
          <w:color w:val="000000"/>
          <w:sz w:val="20"/>
        </w:rPr>
        <w:t>Study-1 raw evidence and integrity material are archived on Zenodo. Because the original executable work package 10 (WP10) statistical-analysis source was not preserved, a later public reconstruction starts from frozen derived inputs and regression-validates against preserved authoritative outputs without rerunning the experiment or redefining the historical population.</w:t>
      </w:r>
    </w:p>
    <w:p>
      <w:pPr>
        <w:pStyle w:val="Heading2"/>
        <w:spacing w:lineRule="auto" w:line="480" w:before="160" w:after="0"/>
        <w:rPr/>
      </w:pPr>
      <w:r>
        <w:rPr>
          <w:rFonts w:ascii="Times New Roman" w:hAnsi="Times New Roman"/>
          <w:color w:val="000000"/>
          <w:sz w:val="20"/>
        </w:rPr>
        <w:t>3.3 Study 2 design</w:t>
      </w:r>
    </w:p>
    <w:p>
      <w:pPr>
        <w:pStyle w:val="Normal"/>
        <w:spacing w:lineRule="auto" w:line="480" w:before="0" w:after="0"/>
        <w:rPr/>
      </w:pPr>
      <w:r>
        <w:rPr>
          <w:color w:val="000000"/>
          <w:sz w:val="20"/>
        </w:rPr>
        <w:t>Study 2 (S2-AEATR-001) was prospectively specified as a separate study and did not append observations to Study 1. Its frozen matrix contained 85 cells and 3,872 planned positions, all of which were retained as VALID with zero INVALID attempts. Block A used 18 cells × 96 paired seeds (1,728 observations) as the primary evidence-mechanism block; Blocks B–E used 32 paired seeds per cell for estimation/sensitivity. The 96-seed primary design was selected prospectively from a worst-case Wilson 95% half-width target of no more than 0.10.</w:t>
      </w:r>
    </w:p>
    <w:p>
      <w:pPr>
        <w:pStyle w:val="Normal"/>
        <w:spacing w:lineRule="auto" w:line="480" w:before="0" w:after="0"/>
        <w:rPr/>
      </w:pPr>
      <w:r>
        <w:rPr>
          <w:sz w:val="20"/>
        </w:rPr>
        <w:t>Evidence conditions were complete/current (V0), omitted (V1), stale/replayed (V2), contradictory independent evidence (V3), post-signature manipulation (V4), and bounded partial producer compromise (V5). Adversary budgets ranged from A0 through A3. A1 permitted one policy-visible producer to be controlled; A2 combined one controlled producer with modeled contact unavailability and is therefore a coupled producer-compromise/contact-loss profile rather than an adversary-only treatment; A3 permitted at least two policy-visible producers, whereas the verifier and independent trust anchor remained outside the adversary budget.</w:t>
      </w:r>
    </w:p>
    <w:p>
      <w:pPr>
        <w:pStyle w:val="Normal"/>
        <w:spacing w:lineRule="auto" w:line="480" w:before="0" w:after="0"/>
        <w:rPr/>
      </w:pPr>
      <w:r>
        <w:rPr>
          <w:color w:val="000000"/>
          <w:sz w:val="20"/>
        </w:rPr>
        <w:t>The deterministic policy set comprised fail-closed (S2_B0_FAIL_CLOSED), fail-operational (S2_B1_FAIL_OPERATIONAL), risk-threshold (S2_B2_RISK_THRESHOLD), and evidence-aware (S2_S1_EVIDENCE_AWARE) mechanisms, plus prespecified context/security ablations. K0–K3 formed the ordered contact-outage series; K4 was a separate intermittent/flapping-contact condition. Frozen logical timing used a 10-s decision point, 8-s current-evidence issue time, 5-s evidence-validity interval, 5-s recovery-processing increment, and a 240-s right-censor horizon. K0 was continuously available; K1, K2, and K3 became available at 20, 60, and 180 s; K4 used intermittent windows. These are deterministic software-model times, not measured spacecraft, orbital, network, operator, or radio-frequency latencies.</w:t>
      </w:r>
    </w:p>
    <w:p>
      <w:pPr>
        <w:pStyle w:val="Normal"/>
        <w:spacing w:lineRule="auto" w:line="480" w:before="0" w:after="0"/>
        <w:rPr/>
      </w:pPr>
      <w:r>
        <w:rPr>
          <w:color w:val="000000"/>
          <w:sz w:val="20"/>
        </w:rPr>
        <w:t>Block A crossed six evidence/adversary profiles with three policies under a frozen update/recovery context. Block B crossed K0–K4 with four policies to evaluate contact/authorization. Block C applied BENIGN/ADVERSARIAL labels within matched ambiguity families but did not change hidden truth or generated policy-visible evidence; it is therefore a structural label-invariance control rather than a causal discrimination experiment. Block D compared the full evidence-aware selector with mission-, evidence-, contact-, and security-context ablations. Block E stressed A1/K0, A2/K2, and A3/K0 profiles across three policies.</w:t>
      </w:r>
    </w:p>
    <w:p>
      <w:pPr>
        <w:pStyle w:val="Normal"/>
        <w:spacing w:lineRule="auto" w:line="480" w:before="0" w:after="0"/>
        <w:rPr/>
      </w:pPr>
      <w:r>
        <w:rPr>
          <w:sz w:val="20"/>
        </w:rPr>
        <w:t>Study 2 strictly separated policy-visible evidence from research-only adjudication truth. The selector could not access treatment identity, ground truth, provenance controls, or the correctness oracle. This permits a compromised producer to generate a cryptographically valid/current-looking claim that satisfies policy-visible qualification yet remains false relative to hidden truth; evidence-qualified recovery is therefore not defined as objective correctness.</w:t>
      </w:r>
    </w:p>
    <w:p>
      <w:pPr>
        <w:pStyle w:val="Normal"/>
        <w:spacing w:lineRule="auto" w:line="480" w:before="0" w:after="0"/>
        <w:rPr/>
      </w:pPr>
      <w:r>
        <w:rPr>
          <w:color w:val="000000"/>
          <w:sz w:val="20"/>
        </w:rPr>
        <w:t>Primary outcomes were unsafe-permissive response rate, false-conservative response rate, evidence-qualified trusted recovery, time to evidence-qualified recovery, residual unauthorized state, and legitimate-command rejection. Secondary outcomes included containment time, state divergence, selection stability, and terminal state. Recovery/containment time used the frozen 240-logical-second restricted horizon.</w:t>
      </w:r>
    </w:p>
    <w:p>
      <w:pPr>
        <w:pStyle w:val="Heading2"/>
        <w:spacing w:lineRule="auto" w:line="480" w:before="160" w:after="0"/>
        <w:rPr/>
      </w:pPr>
      <w:r>
        <w:rPr>
          <w:rFonts w:ascii="Times New Roman" w:hAnsi="Times New Roman"/>
          <w:color w:val="000000"/>
          <w:sz w:val="20"/>
        </w:rPr>
        <w:t>3.4 Study 2 analysis and assurance</w:t>
      </w:r>
    </w:p>
    <w:p>
      <w:pPr>
        <w:pStyle w:val="Normal"/>
        <w:spacing w:lineRule="auto" w:line="480" w:before="0" w:after="0"/>
        <w:rPr/>
      </w:pPr>
      <w:r>
        <w:rPr>
          <w:color w:val="000000"/>
          <w:sz w:val="20"/>
        </w:rPr>
        <w:t>Primary Block-A contrasts were paired by frozen seed and reported with 95% confidence intervals without a primary p-value gate. Secondary paired contrasts, K0–K3 trends, and policy-by-contact interactions were grouped into seven prespecified families with Holm adjustment within family and endpoint. K4 remained separate from the ordered trend; A2/K2 remained contact-coupled; and 32-seed secondary blocks were interpreted as estimation/sensitivity evidence rather than powered small-effect confirmatory tests. No weighted global policy score or rank was computed.</w:t>
      </w:r>
    </w:p>
    <w:p>
      <w:pPr>
        <w:pStyle w:val="Normal"/>
        <w:spacing w:lineRule="auto" w:line="480" w:before="0" w:after="0"/>
        <w:rPr/>
      </w:pPr>
      <w:r>
        <w:rPr>
          <w:color w:val="000000"/>
          <w:sz w:val="20"/>
        </w:rPr>
        <w:t>The Phase-6 evidence artifact and Phase-7 analysis implementation were cryptographically frozen before aggregate analysis. Phase 7 generated 85 cell summaries, 162 primary contrast rows, 432 secondary contrast rows, and 85 terminal-state summaries. An independent standard-library implementation recomputed every numerical cell summary, primary contrast, secondary contrast, Holm adjustment/rejection flag, and terminal-state distribution with zero mismatches.</w:t>
      </w:r>
    </w:p>
    <w:p>
      <w:pPr>
        <w:pStyle w:val="Normal"/>
        <w:spacing w:lineRule="auto" w:line="480" w:before="0" w:after="0"/>
        <w:rPr/>
      </w:pPr>
      <w:r>
        <w:rPr>
          <w:color w:val="000000"/>
          <w:sz w:val="20"/>
        </w:rPr>
        <w:t>Before campaign execution, implementation-bound security testing and bounded Temporal Logic of Actions (TLA+) model checking evaluated selected oracle-isolation, evidence-qualification, trust-boundary, and recovery invariants. These checks provide pre-runtime design/implementation assurance only; they are not proofs of complete implementation equivalence, operational correctness, cryptographic security, flightworthiness, or certification.</w:t>
      </w:r>
    </w:p>
    <w:p>
      <w:pPr>
        <w:pStyle w:val="Heading1"/>
        <w:spacing w:lineRule="auto" w:line="480" w:before="160" w:after="0"/>
        <w:rPr/>
      </w:pPr>
      <w:r>
        <w:rPr>
          <w:rFonts w:ascii="Times New Roman" w:hAnsi="Times New Roman"/>
          <w:color w:val="000000"/>
          <w:sz w:val="20"/>
        </w:rPr>
        <w:t>4. Results</w:t>
      </w:r>
    </w:p>
    <w:p>
      <w:pPr>
        <w:pStyle w:val="Heading2"/>
        <w:spacing w:lineRule="auto" w:line="480" w:before="160" w:after="0"/>
        <w:rPr/>
      </w:pPr>
      <w:r>
        <w:rPr>
          <w:rFonts w:ascii="Times New Roman" w:hAnsi="Times New Roman"/>
          <w:color w:val="000000"/>
          <w:sz w:val="20"/>
        </w:rPr>
        <w:t>4.1 Frozen analysis population and endpoint integrity</w:t>
      </w:r>
    </w:p>
    <w:p>
      <w:pPr>
        <w:pStyle w:val="Normal"/>
        <w:spacing w:lineRule="auto" w:line="480" w:before="0" w:after="0"/>
        <w:rPr/>
      </w:pPr>
      <w:r>
        <w:rPr>
          <w:color w:val="000000"/>
          <w:sz w:val="20"/>
        </w:rPr>
        <w:t>The primary analysis used the complete frozen set of 720 VALID campaign positions, comprising 24 experimental cells with 30 campaign seeds per cell. The nine ledgered INVALID attempts, pre-runtime non-scientific abort evidence, and the quarantined never-ledgered interrupted attempt were retained for provenance and methods reporting but were not members of the statistical analysis population. No VALID observation was removed from the primary analysis.</w:t>
      </w:r>
    </w:p>
    <w:p>
      <w:pPr>
        <w:pStyle w:val="Normal"/>
        <w:spacing w:lineRule="auto" w:line="480" w:before="0" w:after="0"/>
        <w:rPr/>
      </w:pPr>
      <w:r>
        <w:rPr>
          <w:color w:val="000000"/>
          <w:sz w:val="20"/>
        </w:rPr>
        <w:t>The verified-recovery endpoint used an explicit event/censor representation. Across the 720 VALID observations, 180 runs contained an observed verified-recovery event and 540 were right-censored at the frozen 30-s administrative horizon. Censored analysis times were not interpreted as observed recoveries. The safety-invariant endpoint, M03, was structurally zero in the locked extraction: no frozen safety-invariant violation was observed in any of the 720 VALID runs. This absence of observed violations is reported descriptively and is not treated as evidence that violations are impossible outside the tested design.</w:t>
      </w:r>
    </w:p>
    <w:p>
      <w:pPr>
        <w:pStyle w:val="Normal"/>
        <w:spacing w:lineRule="auto" w:line="480" w:before="0" w:after="0"/>
        <w:rPr/>
      </w:pPr>
      <w:r>
        <w:rPr>
          <w:color w:val="000000"/>
          <w:sz w:val="20"/>
        </w:rPr>
        <w:t>Execution provenance was retained explicitly. Of the 720 VALID observations, 1 was executed at commit aae2239753119c92e7633db3b6c73aee94c7b6dd, 9 at 97074d0cdc4261de02bc6f618e891a88f45f9cfc, and 710 at the final execution baseline 7ed85d5cbeca8f903b3468bc6ccc1c56e29c2446. The analytical-exchangeability review found no change across these commits to the frozen scientific core, treatment/policy logic, event simulation, timing horizon, primary metric generation, or frozen configuration. The complete-block provenance sensitivity is reported in Section 4.7.</w:t>
      </w:r>
    </w:p>
    <w:p>
      <w:pPr>
        <w:pStyle w:val="Normal"/>
        <w:spacing w:lineRule="auto" w:line="480" w:before="0" w:after="0"/>
        <w:rPr/>
      </w:pPr>
      <w:r>
        <w:rPr>
          <w:color w:val="000000"/>
          <w:sz w:val="20"/>
        </w:rPr>
        <w:t>Table 1 summarizes the frozen population and proposition outcomes.</w:t>
      </w:r>
    </w:p>
    <w:p>
      <w:pPr>
        <w:pStyle w:val="Heading2"/>
        <w:spacing w:lineRule="auto" w:line="480" w:before="160" w:after="0"/>
        <w:rPr/>
      </w:pPr>
      <w:r>
        <w:rPr>
          <w:rFonts w:ascii="Times New Roman" w:hAnsi="Times New Roman"/>
          <w:color w:val="000000"/>
          <w:sz w:val="20"/>
        </w:rPr>
        <w:t>4.2 P1: Mission-state dependence was not demonstrated on the predeclared primary outcomes</w:t>
      </w:r>
    </w:p>
    <w:p>
      <w:pPr>
        <w:pStyle w:val="Normal"/>
        <w:spacing w:lineRule="auto" w:line="480" w:before="0" w:after="0"/>
        <w:rPr/>
      </w:pPr>
      <w:r>
        <w:rPr>
          <w:color w:val="000000"/>
          <w:sz w:val="20"/>
        </w:rPr>
        <w:t>P1 evaluated whether response-policy value and cost differed materially by mission state using the predeclared primary outcomes M01 unauthorized-effect completion, M02 mission-objective completion, M03 safety-invariant violations, and M06 legitimate-command rejection. In the applicable P1 block, all retained policy-by-mission-state contrasts and interactions for these outcomes were exactly zero.</w:t>
      </w:r>
    </w:p>
    <w:p>
      <w:pPr>
        <w:pStyle w:val="Normal"/>
        <w:spacing w:lineRule="auto" w:line="480" w:before="0" w:after="0"/>
        <w:rPr/>
      </w:pPr>
      <w:r>
        <w:rPr>
          <w:color w:val="000000"/>
          <w:sz w:val="20"/>
        </w:rPr>
        <w:t>Accordingly, the predeclared primary outcomes did not demonstrate mission-state-dependent policy effects in the tested P1 block. The proposition was therefore not supported on its predeclared primary endpoints. No exploratory endpoint was substituted after the fact to reverse this conclusion.</w:t>
      </w:r>
    </w:p>
    <w:p>
      <w:pPr>
        <w:pStyle w:val="Heading2"/>
        <w:spacing w:lineRule="auto" w:line="480" w:before="160" w:after="0"/>
        <w:rPr/>
      </w:pPr>
      <w:r>
        <w:rPr>
          <w:rFonts w:ascii="Times New Roman" w:hAnsi="Times New Roman"/>
          <w:color w:val="000000"/>
          <w:sz w:val="20"/>
        </w:rPr>
        <w:t>4.3 P2: Modeled contact delay selectively affected the ground-authorized recovery path</w:t>
      </w:r>
    </w:p>
    <w:p>
      <w:pPr>
        <w:pStyle w:val="Normal"/>
        <w:spacing w:lineRule="auto" w:line="480" w:before="0" w:after="0"/>
        <w:rPr/>
      </w:pPr>
      <w:r>
        <w:rPr>
          <w:color w:val="000000"/>
          <w:sz w:val="20"/>
        </w:rPr>
        <w:t>P2 tested the effect of one modeled missed-contact window on the ground-authorized P6 path relative to the autonomous P7 path. For M04 containment time, the restricted mean survival time (RMST) contrast for P6 under C1 versus C0 was +10.0831 s (95% seed-block bootstrap interval, 9.8304 to 10.3735 s). The corresponding P7 contrast was −0.0425 s (95% interval, −0.1977 to 0.0899 s). The P6-minus-P7 interaction was +10.1256 s (95% interval, 9.7859 to 10.5176 s).</w:t>
      </w:r>
    </w:p>
    <w:p>
      <w:pPr>
        <w:pStyle w:val="Normal"/>
        <w:spacing w:lineRule="auto" w:line="480" w:before="0" w:after="0"/>
        <w:rPr/>
      </w:pPr>
      <w:r>
        <w:rPr>
          <w:color w:val="000000"/>
          <w:sz w:val="20"/>
        </w:rPr>
        <w:t>The same pattern was observed for verified recovery. For M05 RMST through the frozen 30-s horizon, the P6 C1−C0 contrast was +10.4246 s (95% interval, 9.6567 to 11.3598 s), whereas the P7 contrast was −0.1808 s (95% interval, −0.7194 to 0.2767 s). The interaction was +10.6054 s (95% interval, 9.5343 to 11.9023 s).</w:t>
      </w:r>
    </w:p>
    <w:p>
      <w:pPr>
        <w:pStyle w:val="Normal"/>
        <w:spacing w:lineRule="auto" w:line="480" w:before="0" w:after="0"/>
        <w:rPr/>
      </w:pPr>
      <w:r>
        <w:rPr>
          <w:color w:val="000000"/>
          <w:sz w:val="20"/>
        </w:rPr>
        <w:t>Modeled ground/spacecraft state divergence, M07, showed a similar contact-dependent difference. The P6 C1−C0 contrast was +10.0676 s (95% interval, 9.8438 to 10.3260 s), the P7 contrast was −0.0390 s (95% interval, −0.1690 to 0.0709 s), and the interaction was +10.1066 s (95% interval, 9.8135 to 10.4499 s).</w:t>
      </w:r>
    </w:p>
    <w:p>
      <w:pPr>
        <w:pStyle w:val="Normal"/>
        <w:spacing w:lineRule="auto" w:line="480" w:before="0" w:after="0"/>
        <w:rPr/>
      </w:pPr>
      <w:r>
        <w:rPr>
          <w:sz w:val="20"/>
        </w:rPr>
        <w:t>Thus, the modeled missed-contact condition materially increased containment, verified-recovery, and state-divergence duration for P6, whereas the P7 path was approximately unchanged on these endpoints. Table 2 reports the retained contrasts and intervals.</w:t>
      </w:r>
    </w:p>
    <w:p>
      <w:pPr>
        <w:pStyle w:val="Normal"/>
        <w:spacing w:lineRule="auto" w:line="480" w:before="0" w:after="0"/>
        <w:rPr/>
      </w:pPr>
      <w:r>
        <w:rPr>
          <w:sz w:val="20"/>
        </w:rPr>
        <w:t>The contact condition was synthetic/modeled and should not be interpreted as measured operator latency, ground-station performance, or radio-frequency link timing. A16 and A17 remained requested/effective P6 cases throughout analysis. P6 represented a ground-authorized WAIT policy; after modeled ground authorization, the recovery action delegated to the verified-rollback mechanism associated with P5. These P6 cells were not relabeled as P5 policy cases.</w:t>
      </w:r>
    </w:p>
    <w:p>
      <w:pPr>
        <w:pStyle w:val="Heading2"/>
        <w:spacing w:lineRule="auto" w:line="480" w:before="160" w:after="0"/>
        <w:rPr/>
      </w:pPr>
      <w:r>
        <w:rPr>
          <w:rFonts w:ascii="Times New Roman" w:hAnsi="Times New Roman"/>
          <w:color w:val="000000"/>
          <w:sz w:val="20"/>
        </w:rPr>
        <w:t>4.4 P3: Degraded policy-visible evidence produced P7 recovery failure in the tested block</w:t>
      </w:r>
    </w:p>
    <w:p>
      <w:pPr>
        <w:pStyle w:val="Normal"/>
        <w:spacing w:lineRule="auto" w:line="480" w:before="0" w:after="0"/>
        <w:rPr/>
      </w:pPr>
      <w:r>
        <w:rPr>
          <w:color w:val="000000"/>
          <w:sz w:val="20"/>
        </w:rPr>
        <w:t>P3 examined whether trusted recovery depended on current policy-visible evidence rather than on behavioral restoration alone. In the retained E3/M4/C0 block, fixed P5 achieved trusted recovery in all 30 repetitions under full evidence (A14/T0) and all 30 repetitions under degraded evidence (A15/T1). P7 also achieved trusted recovery in all 30 full-evidence repetitions (A11/T0).</w:t>
      </w:r>
    </w:p>
    <w:p>
      <w:pPr>
        <w:pStyle w:val="Normal"/>
        <w:spacing w:lineRule="auto" w:line="480" w:before="0" w:after="0"/>
        <w:rPr/>
      </w:pPr>
      <w:r>
        <w:rPr>
          <w:color w:val="000000"/>
          <w:sz w:val="20"/>
        </w:rPr>
        <w:t>Under degraded evidence, however, P7 changed sharply. In A13/T1, trusted recovery occurred in 0 of 30 repetitions and recovery failed in 30 of 30. The contrast therefore was not a small reduction in recovery probability: in this controlled condition, the P7 path moved from complete trusted recovery under T0 to complete recovery failure under T1. Table 3 summarizes these retained outcomes.</w:t>
      </w:r>
    </w:p>
    <w:p>
      <w:pPr>
        <w:pStyle w:val="Normal"/>
        <w:spacing w:lineRule="auto" w:line="480" w:before="0" w:after="0"/>
        <w:rPr/>
      </w:pPr>
      <w:r>
        <w:rPr>
          <w:color w:val="000000"/>
          <w:sz w:val="20"/>
        </w:rPr>
        <w:t>The broader proposition that policy-visible evidence can materially affect trusted recovery was supported in this block. The narrower anticipated mechanism, nominal behavioral restoration without sufficient verification, was not observed in A13. Instead, the degraded-evidence P7 runs terminated as recovery failures. The absent narrower mechanism was retained as a null result rather than being inferred from the predeclared expectation.</w:t>
      </w:r>
    </w:p>
    <w:p>
      <w:pPr>
        <w:pStyle w:val="Heading2"/>
        <w:spacing w:lineRule="auto" w:line="480" w:before="160" w:after="0"/>
        <w:rPr/>
      </w:pPr>
      <w:r>
        <w:rPr>
          <w:rFonts w:ascii="Times New Roman" w:hAnsi="Times New Roman"/>
          <w:color w:val="000000"/>
          <w:sz w:val="20"/>
        </w:rPr>
        <w:t>4.5 P4: Degraded evidence changed actual policy/action selection and downstream consequences</w:t>
      </w:r>
    </w:p>
    <w:p>
      <w:pPr>
        <w:pStyle w:val="Normal"/>
        <w:spacing w:lineRule="auto" w:line="480" w:before="0" w:after="0"/>
        <w:rPr/>
      </w:pPr>
      <w:r>
        <w:rPr>
          <w:color w:val="000000"/>
          <w:sz w:val="20"/>
        </w:rPr>
        <w:t>The P4 semantic audit bound each retained P4 run to actual execution metadata for the effective policy and selected action. Immutable experiment ground truth was not available to the runtime policy as a correctness oracle. The resulting evidence therefore supports observed selection/action pathways and their downstream consequences, not an independent post-hoc classification of actions as objectively correct or incorrect.</w:t>
      </w:r>
    </w:p>
    <w:p>
      <w:pPr>
        <w:pStyle w:val="Normal"/>
        <w:spacing w:lineRule="auto" w:line="480" w:before="0" w:after="0"/>
        <w:rPr/>
      </w:pPr>
      <w:r>
        <w:rPr>
          <w:color w:val="000000"/>
          <w:sz w:val="20"/>
        </w:rPr>
        <w:t>For E1 in mission state M2 under immediate modeled contact, full-evidence P7 (A04/T0) selected effective policy P2 and RESTRICT_HIGH_RISK_COMMANDS. The corresponding mission-objective completion ratio was 0.5 and the legitimate-command rejection rate was 0.0. Under degraded evidence (A09/T1), P7 selected effective policy P4 and the experimental action ENTER_SAFE_MODE. Mission-objective completion was 0.0 and legitimate-command rejection was 1.0. Relative to the full-evidence P7 condition, degraded evidence therefore changed M02 by −0.5 and M06 by +1.0. No M03 safety-invariant violation or mission-loss event was observed in either P7 E1 pathway.</w:t>
      </w:r>
    </w:p>
    <w:p>
      <w:pPr>
        <w:pStyle w:val="Normal"/>
        <w:spacing w:lineRule="auto" w:line="480" w:before="0" w:after="0"/>
        <w:rPr/>
      </w:pPr>
      <w:r>
        <w:rPr>
          <w:color w:val="000000"/>
          <w:sz w:val="20"/>
        </w:rPr>
        <w:t>For E3 in mission state M4, full-evidence P7 (A11/T0) selected effective P5 verified rollback and achieved trusted recovery in 30 of 30 repetitions with M02 = 1.0. Under degraded evidence (A13/T1), the selection basis explicitly entered evidence_insufficient, the effective policy changed to P2 restriction, trusted recovery fell to 0 of 30, recovery failure increased to 30 of 30, and M02 decreased to 0.5. No M03 safety-invariant violation or mission-loss event was observed in these P7 E3 cells.</w:t>
      </w:r>
    </w:p>
    <w:p>
      <w:pPr>
        <w:pStyle w:val="Normal"/>
        <w:spacing w:lineRule="auto" w:line="480" w:before="0" w:after="0"/>
        <w:rPr/>
      </w:pPr>
      <w:r>
        <w:rPr>
          <w:color w:val="000000"/>
          <w:sz w:val="20"/>
        </w:rPr>
        <w:t>Table 3 reports the deterministic evidence-to-selection-to-consequence pathways and underlying cell-level values. ENTER_SAFE_MODE is an experimental modeled response action in this software-in-the-loop environment; it is not evidence of a native spacecraft safe-mode implementation.</w:t>
      </w:r>
    </w:p>
    <w:p>
      <w:pPr>
        <w:pStyle w:val="Heading2"/>
        <w:spacing w:lineRule="auto" w:line="480" w:before="160" w:after="0"/>
        <w:rPr/>
      </w:pPr>
      <w:r>
        <w:rPr>
          <w:rFonts w:ascii="Times New Roman" w:hAnsi="Times New Roman"/>
          <w:color w:val="000000"/>
          <w:sz w:val="20"/>
        </w:rPr>
        <w:t>4.6 P5: Mission-aware benefit was condition-specific rather than universal</w:t>
      </w:r>
    </w:p>
    <w:p>
      <w:pPr>
        <w:pStyle w:val="Normal"/>
        <w:spacing w:lineRule="auto" w:line="480" w:before="0" w:after="0"/>
        <w:rPr/>
      </w:pPr>
      <w:r>
        <w:rPr>
          <w:color w:val="000000"/>
          <w:sz w:val="20"/>
        </w:rPr>
        <w:t>P5 compared P7 with condition-matched fixed, ground-authorized, and recovery-policy alternatives using the five frozen Pareto dimensions M01 unauthorized-effect completion, M02 mission-objective completion, M03 safety-invariant violations, M05 verified-recovery RMST, and M06 legitimate-command rejection. No weighted score or global policy rank was computed.</w:t>
      </w:r>
    </w:p>
    <w:p>
      <w:pPr>
        <w:pStyle w:val="Normal"/>
        <w:spacing w:lineRule="auto" w:line="480" w:before="0" w:after="0"/>
        <w:rPr/>
      </w:pPr>
      <w:r>
        <w:rPr>
          <w:color w:val="000000"/>
          <w:sz w:val="20"/>
        </w:rPr>
        <w:t>At the point-estimate level, P7 was a Pareto-front member in five of the nine frozen comparison groups. This count is not a success rate because several front memberships reflected equivalence or delegation rather than incremental adaptive benefit.</w:t>
      </w:r>
    </w:p>
    <w:p>
      <w:pPr>
        <w:pStyle w:val="Normal"/>
        <w:spacing w:lineRule="auto" w:line="480" w:before="0" w:after="0"/>
        <w:rPr/>
      </w:pPr>
      <w:r>
        <w:rPr>
          <w:color w:val="000000"/>
          <w:sz w:val="20"/>
        </w:rPr>
        <w:t>In G01, P7/A02 delegated to effective P1 and was empirically tied with A01/P1. In G02, P7/A04 delegated to P2 and tied with A03/P1 and A07/P2. In G03, P7/A06 was tied with A05/P1. These three groups therefore provide evidence of equivalence rather than a distinct P7 advantage.</w:t>
      </w:r>
    </w:p>
    <w:p>
      <w:pPr>
        <w:pStyle w:val="Normal"/>
        <w:spacing w:lineRule="auto" w:line="480" w:before="0" w:after="0"/>
        <w:rPr/>
      </w:pPr>
      <w:r>
        <w:rPr>
          <w:color w:val="000000"/>
          <w:sz w:val="20"/>
        </w:rPr>
        <w:t>P7 was point-dominated in G04, G05, G06, and G09. In G04, A09/P7→P4 was dominated by A08/P2; marginal bootstrap intervals supported comparator dominance. In G06, A13/P7→P2 was tied with A12/P2 and dominated by A15/P5, with marginal intervals supporting comparator dominance versus A15. In G09, A24/P7→P4 tied with A23/P4 and was dominated by A22/P0, with marginal intervals supporting comparator dominance versus A22.</w:t>
      </w:r>
    </w:p>
    <w:p>
      <w:pPr>
        <w:pStyle w:val="Normal"/>
        <w:spacing w:lineRule="auto" w:line="480" w:before="0" w:after="0"/>
        <w:rPr/>
      </w:pPr>
      <w:r>
        <w:rPr>
          <w:sz w:val="20"/>
        </w:rPr>
        <w:t>G05 was mixed. P7/A11→P5 dominated A10/P2 and A16/P6 at the point-estimate level, and marginal intervals supported P7 dominance versus A10/P2. However, A11 was point-dominated by A14/fixed P5 because M05 RMST was 3.9819393339 s for A11 versus 3.8009359910 s for A14, with the other Pareto dimensions equal. The A11-versus-A14 marginal classification was uncertain/tied rather than robust comparator dominance.</w:t>
      </w:r>
    </w:p>
    <w:p>
      <w:pPr>
        <w:pStyle w:val="Normal"/>
        <w:spacing w:lineRule="auto" w:line="480" w:before="0" w:after="0"/>
        <w:rPr/>
      </w:pPr>
      <w:r>
        <w:rPr>
          <w:color w:val="000000"/>
          <w:sz w:val="20"/>
        </w:rPr>
        <w:t>The clearest positive P7 conditions were G07 and G08. In G07, P7/A18→P5 was the unique point-estimate Pareto-front member and dominated A17/P6; marginal intervals supported P7 dominance. In G08, P7/A21→P1 dominated A19/P0 and tied A20/P1; marginal intervals supported P7 dominance versus A19/P0.</w:t>
      </w:r>
    </w:p>
    <w:p>
      <w:pPr>
        <w:pStyle w:val="Normal"/>
        <w:spacing w:lineRule="auto" w:line="480" w:before="0" w:after="0"/>
        <w:rPr/>
      </w:pPr>
      <w:r>
        <w:rPr>
          <w:color w:val="000000"/>
          <w:sz w:val="20"/>
        </w:rPr>
        <w:t>Table 4 summarizes the group-level P7 relations. The retained P5 result therefore contains supported P7 advantages, empirical equivalence, mixed comparisons, and supported comparator advantages. No universal policy winner was observed or inferred.</w:t>
      </w:r>
    </w:p>
    <w:p>
      <w:pPr>
        <w:pStyle w:val="Heading2"/>
        <w:spacing w:lineRule="auto" w:line="480" w:before="160" w:after="0"/>
        <w:rPr/>
      </w:pPr>
      <w:r>
        <w:rPr>
          <w:rFonts w:ascii="Times New Roman" w:hAnsi="Times New Roman"/>
          <w:color w:val="000000"/>
          <w:sz w:val="20"/>
        </w:rPr>
        <w:t>4.7 Robustness and execution-provenance sensitivity</w:t>
      </w:r>
    </w:p>
    <w:p>
      <w:pPr>
        <w:pStyle w:val="Normal"/>
        <w:spacing w:lineRule="auto" w:line="480" w:before="0" w:after="0"/>
        <w:rPr/>
      </w:pPr>
      <w:r>
        <w:rPr>
          <w:color w:val="000000"/>
          <w:sz w:val="20"/>
        </w:rPr>
        <w:t>The primary analysis retained all 720 VALID observations despite their versioned execution provenance. The E0 review classified the observations as analytically exchangeable with versioned runtime-orchestration and finalization provenance because the scientific core, treatments, event simulation, timing horizon, primary metric generation, and frozen configuration did not change across the three execution commits.</w:t>
      </w:r>
    </w:p>
    <w:p>
      <w:pPr>
        <w:pStyle w:val="Normal"/>
        <w:spacing w:lineRule="auto" w:line="480" w:before="0" w:after="0"/>
        <w:rPr/>
      </w:pPr>
      <w:r>
        <w:rPr>
          <w:color w:val="000000"/>
          <w:sz w:val="20"/>
        </w:rPr>
        <w:t>A complete-block sensitivity restricted the comparison to campaign seeds 10002–10030, yielding 29 complete seeds and 696 observations, all executed at final commit 7ed85d5cbeca8f903b3468bc6ccc1c56e29c2446. This sensitivity preserved each group's P7 point-estimate Pareto-front membership/non-membership classification across all 9 groups, every P7-versus-comparator point-estimate relation, and every primary-metric effect direction. The sensitivity therefore did not identify a provenance-driven change in the P5 conclusion.</w:t>
      </w:r>
    </w:p>
    <w:p>
      <w:pPr>
        <w:pStyle w:val="Normal"/>
        <w:spacing w:lineRule="auto" w:line="480" w:before="0" w:after="0"/>
        <w:rPr/>
      </w:pPr>
      <w:r>
        <w:rPr>
          <w:color w:val="000000"/>
          <w:sz w:val="20"/>
        </w:rPr>
        <w:t>The 696-observation analysis is a robustness check and does not replace the 720-observation primary population. The complete execution-provenance distribution and sensitivity record is retained in the public research repository.</w:t>
      </w:r>
    </w:p>
    <w:p>
      <w:pPr>
        <w:pStyle w:val="Heading2"/>
        <w:spacing w:lineRule="auto" w:line="480" w:before="160" w:after="0"/>
        <w:rPr/>
      </w:pPr>
      <w:r>
        <w:rPr>
          <w:rFonts w:ascii="Times New Roman" w:hAnsi="Times New Roman"/>
          <w:color w:val="000000"/>
          <w:sz w:val="20"/>
        </w:rPr>
        <w:t>4.8 Study 2: adversarial evidence-aware response and trusted recovery</w:t>
      </w:r>
    </w:p>
    <w:p>
      <w:pPr>
        <w:pStyle w:val="Normal"/>
        <w:spacing w:lineRule="auto" w:line="480" w:before="0" w:after="0"/>
        <w:rPr/>
      </w:pPr>
      <w:r>
        <w:rPr>
          <w:color w:val="000000"/>
          <w:sz w:val="20"/>
        </w:rPr>
        <w:t xml:space="preserve">Study 2 analyzed the complete frozen Phase-6 population of </w:t>
      </w:r>
      <w:r>
        <w:rPr>
          <w:b/>
          <w:color w:val="000000"/>
          <w:sz w:val="20"/>
        </w:rPr>
        <w:t>3,872 VALID observations</w:t>
      </w:r>
      <w:r>
        <w:rPr>
          <w:color w:val="000000"/>
          <w:sz w:val="20"/>
        </w:rPr>
        <w:t xml:space="preserve">, with </w:t>
      </w:r>
      <w:r>
        <w:rPr>
          <w:b/>
          <w:color w:val="000000"/>
          <w:sz w:val="20"/>
        </w:rPr>
        <w:t>0 INVALID attempts</w:t>
      </w:r>
      <w:r>
        <w:rPr>
          <w:color w:val="000000"/>
          <w:sz w:val="20"/>
        </w:rPr>
        <w:t xml:space="preserve"> across </w:t>
      </w:r>
      <w:r>
        <w:rPr>
          <w:b/>
          <w:color w:val="000000"/>
          <w:sz w:val="20"/>
        </w:rPr>
        <w:t>85 cells</w:t>
      </w:r>
      <w:r>
        <w:rPr>
          <w:color w:val="000000"/>
          <w:sz w:val="20"/>
        </w:rPr>
        <w:t>. The frozen Phase-7 implementation produced 162 primary paired contrast rows and 432 prespecified secondary contrast rows. An independent arithmetic reproduction matched all numerical cell summaries, primary contrasts, secondary contrasts, Holm adjustments/rejection flags, and terminal-state distributions with zero mismatches.</w:t>
      </w:r>
    </w:p>
    <w:p>
      <w:pPr>
        <w:pStyle w:val="Heading3"/>
        <w:spacing w:lineRule="auto" w:line="480" w:before="160" w:after="0"/>
        <w:rPr/>
      </w:pPr>
      <w:r>
        <w:rPr>
          <w:rFonts w:ascii="Times New Roman" w:hAnsi="Times New Roman"/>
          <w:color w:val="000000"/>
          <w:sz w:val="20"/>
        </w:rPr>
        <w:t>4.8.1 Research Question 1 (RQ1): evidence conditions and bounded partial compromise</w:t>
      </w:r>
    </w:p>
    <w:p>
      <w:pPr>
        <w:pStyle w:val="Normal"/>
        <w:spacing w:lineRule="auto" w:line="480" w:before="0" w:after="0"/>
        <w:rPr/>
      </w:pPr>
      <w:r>
        <w:rPr>
          <w:color w:val="000000"/>
          <w:sz w:val="20"/>
        </w:rPr>
        <w:t xml:space="preserve">Block A compared six frozen evidence profiles within policy using 96 paired seeds per cell. For S2_B0_FAIL_CLOSED and S2_S1_EVIDENCE_AWARE, V1 omission, V2 stale/replay, V3 contradiction, and V4 post-signature manipulation moved the response from the V0 recovery-gate attempt to restrictive/hold behavior. Under the frozen hidden prerequisites for this block, those changes reduced the adjudicated unsafe-permissive response rate by </w:t>
      </w:r>
      <w:r>
        <w:rPr>
          <w:b/>
          <w:color w:val="000000"/>
          <w:sz w:val="20"/>
        </w:rPr>
        <w:t>1.0</w:t>
      </w:r>
      <w:r>
        <w:rPr>
          <w:color w:val="000000"/>
          <w:sz w:val="20"/>
        </w:rPr>
        <w:t xml:space="preserve"> relative to V0. S2_B2_RISK_THRESHOLD was already restrictive in the corresponding comparisons, so those contrasts were zero.</w:t>
      </w:r>
    </w:p>
    <w:p>
      <w:pPr>
        <w:pStyle w:val="Normal"/>
        <w:spacing w:lineRule="auto" w:line="480" w:before="0" w:after="0"/>
        <w:rPr/>
      </w:pPr>
      <w:r>
        <w:rPr>
          <w:sz w:val="20"/>
        </w:rPr>
        <w:t>V5 exposed a different security boundary. A controlled policy-visible producer could generate evidence that remained authenticated/current enough for the recovery gate yet be false relative to the research-only adjudication truth. Under V5, both S2_B0_FAIL_CLOSED and S2_S1_EVIDENCE_AWARE reached evidence-qualified trusted recovery in all 96 paired primary observations. Relative to V0, the evidence-qualified recovery-rate change was +1.0 and the restricted recovery-time change was −230 logical seconds, yet the adjudicated unsafe-permissive rate under V5 remained 1.0.</w:t>
      </w:r>
    </w:p>
    <w:p>
      <w:pPr>
        <w:pStyle w:val="Normal"/>
        <w:spacing w:lineRule="auto" w:line="480" w:before="0" w:after="0"/>
        <w:rPr/>
      </w:pPr>
      <w:r>
        <w:rPr>
          <w:color w:val="000000"/>
          <w:sz w:val="20"/>
        </w:rPr>
        <w:t xml:space="preserve">The result therefore does not mean that cryptographic authentication or evidence-qualified recovery failed as implemented. It shows that, under the bounded producer-compromise model, </w:t>
      </w:r>
      <w:r>
        <w:rPr>
          <w:b/>
          <w:color w:val="000000"/>
          <w:sz w:val="20"/>
        </w:rPr>
        <w:t>policy-visible authenticity/currentness is not equivalent to objective correctness</w:t>
      </w:r>
      <w:r>
        <w:rPr>
          <w:color w:val="000000"/>
          <w:sz w:val="20"/>
        </w:rPr>
        <w:t xml:space="preserve"> when the producer itself is within the adversary budget. The verifier and research-only adjudication truth remained outside that budget.</w:t>
      </w:r>
    </w:p>
    <w:p>
      <w:pPr>
        <w:pStyle w:val="Normal"/>
        <w:spacing w:lineRule="auto" w:line="480" w:before="0" w:after="0"/>
        <w:rPr/>
      </w:pPr>
      <w:r>
        <w:rPr>
          <w:sz w:val="20"/>
        </w:rPr>
        <w:t>Within Block A, the evidence-aware selector and fail-closed baseline had identical primary endpoint estimates. Relative to S2_B2_RISK_THRESHOLD, the evidence-aware selector was more permissive under V0 and V5; under V5 that permissiveness yielded evidence-qualified recovery and also carried an unsafe-permissive difference of +1.0. These are endpoint-specific trade-offs and are not converted into a global policy ranking.</w:t>
      </w:r>
    </w:p>
    <w:p>
      <w:pPr>
        <w:pStyle w:val="Heading3"/>
        <w:spacing w:lineRule="auto" w:line="480" w:before="160" w:after="0"/>
        <w:rPr/>
      </w:pPr>
      <w:r>
        <w:rPr>
          <w:rFonts w:ascii="Times New Roman" w:hAnsi="Times New Roman"/>
          <w:color w:val="000000"/>
          <w:sz w:val="20"/>
        </w:rPr>
        <w:t>4.8.2 RQ2: modeled contact and authorization constraints</w:t>
      </w:r>
    </w:p>
    <w:p>
      <w:pPr>
        <w:pStyle w:val="Normal"/>
        <w:spacing w:lineRule="auto" w:line="480" w:before="0" w:after="0"/>
        <w:rPr/>
      </w:pPr>
      <w:r>
        <w:rPr>
          <w:sz w:val="20"/>
        </w:rPr>
        <w:t>At K0, S2_B0_FAIL_CLOSED and S2_S1_EVIDENCE_AWARE both reached evidence-qualified recovery at 10 logical seconds with an unsafe-permissive rate of 0. Under K1, K2, K3, and K4, the evidence-aware selector initially restricted and then proceeded at the next frozen contact opportunity, reaching recovery at 25, 65, 185, and 30 logical seconds, respectively, and retaining an unsafe-permissive rate of 0.</w:t>
      </w:r>
    </w:p>
    <w:p>
      <w:pPr>
        <w:pStyle w:val="Normal"/>
        <w:spacing w:lineRule="auto" w:line="480" w:before="0" w:after="0"/>
        <w:rPr/>
      </w:pPr>
      <w:r>
        <w:rPr>
          <w:sz w:val="20"/>
        </w:rPr>
        <w:t>The fail-closed baseline also eventually recovered at the modeled contact opportunities, but its initial permissive action when authorization was unavailable produced an unsafe-permissive increase of +1.0 versus K0 at each non-K0 contact profile. Across the ordered K0–K3 series, its unsafe-permissive slope was +0.3 per contact-severity step, whereas the evidence-aware selector's slope was 0.</w:t>
      </w:r>
    </w:p>
    <w:p>
      <w:pPr>
        <w:pStyle w:val="Normal"/>
        <w:spacing w:lineRule="auto" w:line="480" w:before="0" w:after="0"/>
        <w:rPr/>
      </w:pPr>
      <w:r>
        <w:rPr>
          <w:color w:val="000000"/>
          <w:sz w:val="20"/>
        </w:rPr>
        <w:t>K4 is not interpreted as severity level 4. It is the prospectively frozen intermittent/flapping-contact contrast and remains separate from the K0–K3 ordered trend. All reported times in this section are deterministic logical software-in-the-loop (SIL) times rather than measured network, orbital-access, operator, or spacecraft latencies.</w:t>
      </w:r>
    </w:p>
    <w:p>
      <w:pPr>
        <w:pStyle w:val="Heading3"/>
        <w:spacing w:lineRule="auto" w:line="480" w:before="160" w:after="0"/>
        <w:rPr/>
      </w:pPr>
      <w:r>
        <w:rPr>
          <w:rFonts w:ascii="Times New Roman" w:hAnsi="Times New Roman"/>
          <w:color w:val="000000"/>
          <w:sz w:val="20"/>
        </w:rPr>
        <w:t>4.8.3 RQ3: structural label-invariance control</w:t>
      </w:r>
    </w:p>
    <w:p>
      <w:pPr>
        <w:pStyle w:val="Normal"/>
        <w:spacing w:lineRule="auto" w:line="480" w:before="0" w:after="0"/>
        <w:rPr/>
      </w:pPr>
      <w:r>
        <w:rPr>
          <w:color w:val="000000"/>
          <w:sz w:val="20"/>
        </w:rPr>
        <w:t xml:space="preserve">All </w:t>
      </w:r>
      <w:r>
        <w:rPr>
          <w:b/>
          <w:color w:val="000000"/>
          <w:sz w:val="20"/>
        </w:rPr>
        <w:t>54</w:t>
      </w:r>
      <w:r>
        <w:rPr>
          <w:color w:val="000000"/>
          <w:sz w:val="20"/>
        </w:rPr>
        <w:t xml:space="preserve"> prespecified C-family endpoint contrasts were zero and </w:t>
      </w:r>
      <w:r>
        <w:rPr>
          <w:b/>
          <w:color w:val="000000"/>
          <w:sz w:val="20"/>
        </w:rPr>
        <w:t>0/54</w:t>
      </w:r>
      <w:r>
        <w:rPr>
          <w:color w:val="000000"/>
          <w:sz w:val="20"/>
        </w:rPr>
        <w:t xml:space="preserve"> were rejected after Holm adjustment. This result has a deliberately narrow interpretation. Within each frozen Block-C ambiguity family, changing the BENIGN/ADVERSARIAL cause label does not alter hidden truth or the generated policy-visible evidence. The zero contrasts therefore verify </w:t>
      </w:r>
      <w:r>
        <w:rPr>
          <w:b/>
          <w:color w:val="000000"/>
          <w:sz w:val="20"/>
        </w:rPr>
        <w:t>structural label invariance</w:t>
      </w:r>
      <w:r>
        <w:rPr>
          <w:color w:val="000000"/>
          <w:sz w:val="20"/>
        </w:rPr>
        <w:t>: changing a non-operative analysis/adjudication label alone does not change the measured policy outcomes.</w:t>
      </w:r>
    </w:p>
    <w:p>
      <w:pPr>
        <w:pStyle w:val="Normal"/>
        <w:spacing w:lineRule="auto" w:line="480" w:before="0" w:after="0"/>
        <w:rPr/>
      </w:pPr>
      <w:r>
        <w:rPr>
          <w:sz w:val="20"/>
        </w:rPr>
        <w:t>The Block-C result is not empirical evidence that the policies distinguish or fail to distinguish genuinely different benign and adversarial causal mechanisms. Testing that question would require a separate design in which the underlying causal mechanisms actually differ and the intended policy-visible ambiguity relationship is controlled.</w:t>
      </w:r>
    </w:p>
    <w:p>
      <w:pPr>
        <w:pStyle w:val="Heading3"/>
        <w:spacing w:lineRule="auto" w:line="480" w:before="160" w:after="0"/>
        <w:rPr/>
      </w:pPr>
      <w:r>
        <w:rPr>
          <w:rFonts w:ascii="Times New Roman" w:hAnsi="Times New Roman"/>
          <w:color w:val="000000"/>
          <w:sz w:val="20"/>
        </w:rPr>
        <w:t>4.8.4 RQ4: contribution of policy-visible context</w:t>
      </w:r>
    </w:p>
    <w:p>
      <w:pPr>
        <w:pStyle w:val="Normal"/>
        <w:spacing w:lineRule="auto" w:line="480" w:before="0" w:after="0"/>
        <w:rPr/>
      </w:pPr>
      <w:r>
        <w:rPr>
          <w:color w:val="000000"/>
          <w:sz w:val="20"/>
        </w:rPr>
        <w:t xml:space="preserve">The Block-D ablations exposed specific context dependencies rather than one universally dominant input. In the unauthorized-command context, removing mission context or contact context increased the unsafe-permissive rate by </w:t>
      </w:r>
      <w:r>
        <w:rPr>
          <w:b/>
          <w:color w:val="000000"/>
          <w:sz w:val="20"/>
        </w:rPr>
        <w:t>+1.0</w:t>
      </w:r>
      <w:r>
        <w:rPr>
          <w:color w:val="000000"/>
          <w:sz w:val="20"/>
        </w:rPr>
        <w:t xml:space="preserve"> relative to the full evidence-aware selector. In the update/recovery context, the security-only ablation reduced evidence-qualified recovery by </w:t>
      </w:r>
      <w:r>
        <w:rPr>
          <w:b/>
          <w:color w:val="000000"/>
          <w:sz w:val="20"/>
        </w:rPr>
        <w:t>1.0</w:t>
      </w:r>
      <w:r>
        <w:rPr>
          <w:color w:val="000000"/>
          <w:sz w:val="20"/>
        </w:rPr>
        <w:t xml:space="preserve"> and increased restricted recovery time by </w:t>
      </w:r>
      <w:r>
        <w:rPr>
          <w:b/>
          <w:color w:val="000000"/>
          <w:sz w:val="20"/>
        </w:rPr>
        <w:t>230 logical seconds</w:t>
      </w:r>
      <w:r>
        <w:rPr>
          <w:color w:val="000000"/>
          <w:sz w:val="20"/>
        </w:rPr>
        <w:t>.</w:t>
      </w:r>
    </w:p>
    <w:p>
      <w:pPr>
        <w:pStyle w:val="Normal"/>
        <w:spacing w:lineRule="auto" w:line="480" w:before="0" w:after="0"/>
        <w:rPr/>
      </w:pPr>
      <w:r>
        <w:rPr>
          <w:color w:val="000000"/>
          <w:sz w:val="20"/>
        </w:rPr>
        <w:t>Other prespecified ablations changed false-conservative and legitimate-command-rejection behavior in replay/evidence-loss contexts. Because Block D used 32 paired seeds per cell, these results remain secondary estimation/sensitivity evidence and are not promoted to primary small-effect confirmatory claims.</w:t>
      </w:r>
    </w:p>
    <w:p>
      <w:pPr>
        <w:pStyle w:val="Heading3"/>
        <w:spacing w:lineRule="auto" w:line="480" w:before="160" w:after="0"/>
        <w:rPr/>
      </w:pPr>
      <w:r>
        <w:rPr>
          <w:rFonts w:ascii="Times New Roman" w:hAnsi="Times New Roman"/>
          <w:color w:val="000000"/>
          <w:sz w:val="20"/>
        </w:rPr>
        <w:t>4.8.5 RQ5: baseline and adversary-budget stress</w:t>
      </w:r>
    </w:p>
    <w:p>
      <w:pPr>
        <w:pStyle w:val="Normal"/>
        <w:spacing w:lineRule="auto" w:line="480" w:before="0" w:after="0"/>
        <w:rPr/>
      </w:pPr>
      <w:r>
        <w:rPr>
          <w:color w:val="000000"/>
          <w:sz w:val="20"/>
        </w:rPr>
        <w:t xml:space="preserve">In Block E, the A3/K0 profile produced residual unauthorized state in all three evaluated policies, corresponding to a </w:t>
      </w:r>
      <w:r>
        <w:rPr>
          <w:b/>
          <w:color w:val="000000"/>
          <w:sz w:val="20"/>
        </w:rPr>
        <w:t>+1.0</w:t>
      </w:r>
      <w:r>
        <w:rPr>
          <w:color w:val="000000"/>
          <w:sz w:val="20"/>
        </w:rPr>
        <w:t xml:space="preserve"> difference versus A1/K0. S2_B0_FAIL_CLOSED and S2_S1_EVIDENCE_AWARE nevertheless reached evidence-qualified recovery under A3/K0. This independently reinforces the RQ1 boundary: policy-visible recovery qualification does not guarantee objective correctness when multiple evidence producers are controlled within the frozen adversary budget.</w:t>
      </w:r>
    </w:p>
    <w:p>
      <w:pPr>
        <w:pStyle w:val="Normal"/>
        <w:spacing w:lineRule="auto" w:line="480" w:before="0" w:after="0"/>
        <w:rPr/>
      </w:pPr>
      <w:r>
        <w:rPr>
          <w:sz w:val="20"/>
        </w:rPr>
        <w:t>Under the A2/K2 coupled producer-compromise/contact-loss profile, S2_S1_EVIDENCE_AWARE withheld recovery, whereas S2_B0_FAIL_CLOSED recovered with an unsafe-permissive response. The profile is explicitly contact-coupled and is not reported as an unconfounded adversary-only effect.</w:t>
      </w:r>
    </w:p>
    <w:p>
      <w:pPr>
        <w:pStyle w:val="Heading3"/>
        <w:spacing w:lineRule="auto" w:line="480" w:before="160" w:after="0"/>
        <w:rPr/>
      </w:pPr>
      <w:r>
        <w:rPr>
          <w:rFonts w:ascii="Times New Roman" w:hAnsi="Times New Roman"/>
          <w:color w:val="000000"/>
          <w:sz w:val="20"/>
        </w:rPr>
        <w:t>4.8.6 Secondary multiplicity summary</w:t>
      </w:r>
    </w:p>
    <w:p>
      <w:pPr>
        <w:pStyle w:val="Normal"/>
        <w:spacing w:lineRule="auto" w:line="480" w:before="0" w:after="0"/>
        <w:rPr/>
      </w:pPr>
      <w:r>
        <w:rPr>
          <w:sz w:val="20"/>
        </w:rPr>
        <w:t>The prespecified secondary contrast families used within-family and within-endpoint Holm adjustment. The complete family-level rejection counts are retained in the frozen Study-2 statistical record and public repository; they are not converted into a global policy score or rank. Table 5 summarizes the prespecified Study 2 findings across RQ1-RQ5.</w:t>
      </w:r>
    </w:p>
    <w:p>
      <w:pPr>
        <w:pStyle w:val="Heading3"/>
        <w:spacing w:lineRule="auto" w:line="480" w:before="160" w:after="0"/>
        <w:rPr/>
      </w:pPr>
      <w:r>
        <w:rPr>
          <w:rFonts w:ascii="Times New Roman" w:hAnsi="Times New Roman"/>
          <w:color w:val="000000"/>
          <w:sz w:val="20"/>
        </w:rPr>
        <w:t>4.8.7 Study-2 result boundary</w:t>
      </w:r>
    </w:p>
    <w:p>
      <w:pPr>
        <w:pStyle w:val="Normal"/>
        <w:spacing w:lineRule="auto" w:line="480" w:before="0" w:after="0"/>
        <w:rPr/>
      </w:pPr>
      <w:r>
        <w:rPr>
          <w:color w:val="000000"/>
          <w:sz w:val="20"/>
        </w:rPr>
        <w:t>Study 2 extends the Study-1 evidence model without retroactively redefining Study 1. Study-1 T1 remains controlled omission/reduction of selected policy-visible fields. Study-2 V2–V5 separately instantiate stale/replayed, contradictory, post-signature-manipulated, and bounded producer-compromise conditions under their own frozen protocol.</w:t>
      </w:r>
    </w:p>
    <w:p>
      <w:pPr>
        <w:pStyle w:val="Normal"/>
        <w:spacing w:lineRule="auto" w:line="480" w:before="0" w:after="0"/>
        <w:rPr/>
      </w:pPr>
      <w:r>
        <w:rPr>
          <w:color w:val="000000"/>
          <w:sz w:val="20"/>
        </w:rPr>
        <w:t>The Study-2 results are software-in-the-loop findings. They do not establish flightworthiness, real radio-frequency or orbital-access performance, real operator timing, production incident-response effectiveness, or certification. They also do not identify one universally superior response policy. The strongest security result is instead a boundary condition: recovery evidence must be evaluated in relation to the trustworthiness of the evidence-producing plane, not only the validity of the evidence presented to the verifier.</w:t>
      </w:r>
    </w:p>
    <w:p>
      <w:pPr>
        <w:pStyle w:val="Heading1"/>
        <w:spacing w:lineRule="auto" w:line="480" w:before="160" w:after="0"/>
        <w:rPr/>
      </w:pPr>
      <w:r>
        <w:rPr>
          <w:rFonts w:ascii="Times New Roman" w:hAnsi="Times New Roman"/>
          <w:color w:val="000000"/>
          <w:sz w:val="20"/>
        </w:rPr>
        <w:t>5. Discussion</w:t>
      </w:r>
    </w:p>
    <w:p>
      <w:pPr>
        <w:pStyle w:val="Normal"/>
        <w:spacing w:lineRule="auto" w:line="480" w:before="0" w:after="0"/>
        <w:rPr/>
      </w:pPr>
      <w:r>
        <w:rPr>
          <w:color w:val="000000"/>
          <w:sz w:val="20"/>
        </w:rPr>
        <w:t>The two frozen studies expose a consistent systems-security result without supporting universal policy superiority: response value depends on the mechanism, contact/authorization regime, and the sufficiency and trustworthiness of the evidence visible to that mechanism. Study 1 supplies the baseline multi-objective comparison; Study 2 raises the evidence-integrity and contact-assurance bar in a separate population.</w:t>
      </w:r>
    </w:p>
    <w:p>
      <w:pPr>
        <w:pStyle w:val="Heading2"/>
        <w:spacing w:lineRule="auto" w:line="480" w:before="160" w:after="0"/>
        <w:rPr/>
      </w:pPr>
      <w:r>
        <w:rPr>
          <w:rFonts w:ascii="Times New Roman" w:hAnsi="Times New Roman"/>
          <w:color w:val="000000"/>
          <w:sz w:val="20"/>
        </w:rPr>
        <w:t>5.1 Mission state, contact, and authorization</w:t>
      </w:r>
    </w:p>
    <w:p>
      <w:pPr>
        <w:pStyle w:val="Normal"/>
        <w:spacing w:lineRule="auto" w:line="480" w:before="0" w:after="0"/>
        <w:rPr/>
      </w:pPr>
      <w:r>
        <w:rPr>
          <w:color w:val="000000"/>
          <w:sz w:val="20"/>
        </w:rPr>
        <w:t>Mission-aware and spacecraft fault-management theory make state-dependent consequences plausible [2, 3, 4], but Study 1 did not demonstrate mission-state dependence on its predeclared M01, M02, M03, and M06 outcomes. That null result is retained rather than replaced with an exploratory endpoint.</w:t>
      </w:r>
    </w:p>
    <w:p>
      <w:pPr>
        <w:pStyle w:val="Normal"/>
        <w:spacing w:lineRule="auto" w:line="480" w:before="0" w:after="0"/>
        <w:rPr/>
      </w:pPr>
      <w:r>
        <w:rPr>
          <w:sz w:val="20"/>
        </w:rPr>
        <w:t>Contact/authorization produced clearer effects. In Study 1, one synthetic missed-contact window added about 10 s to P6 containment, verified-recovery, and state-divergence timing, whereas P7 was approximately unchanged. In Study 2, the evidence-aware selector restricted first and waited for the next frozen contact opportunity, retaining unsafe-permissive rate 0 under K1–K4. The fail-closed baseline eventually recovered but its initial permissive action under unavailable authorization produced unsafe-permissive behavior. These results do not make autonomous response universally preferable: they show that the action taken while authority is unavailable must be explicit. K4 remains intermittent/flapping contact, and all reported times are logical software times rather than operational latency.</w:t>
      </w:r>
    </w:p>
    <w:p>
      <w:pPr>
        <w:pStyle w:val="Heading2"/>
        <w:spacing w:lineRule="auto" w:line="480" w:before="160" w:after="0"/>
        <w:rPr/>
      </w:pPr>
      <w:r>
        <w:rPr>
          <w:rFonts w:ascii="Times New Roman" w:hAnsi="Times New Roman"/>
          <w:color w:val="000000"/>
          <w:sz w:val="20"/>
        </w:rPr>
        <w:t>5.2 Evidence sufficiency and evidence-plane trust</w:t>
      </w:r>
    </w:p>
    <w:p>
      <w:pPr>
        <w:pStyle w:val="Normal"/>
        <w:spacing w:lineRule="auto" w:line="480" w:before="0" w:after="0"/>
        <w:rPr/>
      </w:pPr>
      <w:r>
        <w:rPr>
          <w:color w:val="000000"/>
          <w:sz w:val="20"/>
        </w:rPr>
        <w:t>Study 1 showed that omission/reduction of selected policy-visible fields can redirect a deterministic selector and prevent trusted recovery. Fixed P5 recovered in all tested repetitions under both Study-1 evidence conditions, whereas P7 moved from 30/30 trusted recoveries under T0 to 0/30 under T1 in the compromised-update block. T1 supports only an omission/reduction claim; it did not test stale evidence, contradiction, post-signature manipulation, or producer compromise.</w:t>
      </w:r>
    </w:p>
    <w:p>
      <w:pPr>
        <w:pStyle w:val="Normal"/>
        <w:spacing w:lineRule="auto" w:line="480" w:before="0" w:after="0"/>
        <w:rPr/>
      </w:pPr>
      <w:r>
        <w:rPr>
          <w:sz w:val="20"/>
        </w:rPr>
        <w:t>Study 2 separated those mechanisms prospectively. V1–V4 caused restrictive/hold behavior for fail-closed and evidence-aware policies under the Block-A prerequisites. V5 exposed the stronger boundary: a compromised producer could make a false claim that remained authentic/current enough to satisfy the recovery gate. Under V5, fail-closed and evidence-aware policies both achieved evidence-qualified recovery in all 96 paired primary observations, although adjudicated unsafe-permissive rate remained 1.0.</w:t>
      </w:r>
    </w:p>
    <w:p>
      <w:pPr>
        <w:pStyle w:val="Normal"/>
        <w:spacing w:lineRule="auto" w:line="480" w:before="0" w:after="0"/>
        <w:rPr/>
      </w:pPr>
      <w:r>
        <w:rPr>
          <w:color w:val="000000"/>
          <w:sz w:val="20"/>
        </w:rPr>
        <w:t>This finding is not an argument that signature verification failed. Authentication can establish origin and post-signature integrity without establishing that the signer is uncompromised or the signed claim is true. Trusted-recovery assurance must therefore state which evidence producers are inside the trust boundary and adversary budget. The research-only adjudication truth was never policy input, preserving the question the experiment was designed to test.</w:t>
      </w:r>
    </w:p>
    <w:p>
      <w:pPr>
        <w:pStyle w:val="Heading2"/>
        <w:spacing w:lineRule="auto" w:line="480" w:before="160" w:after="0"/>
        <w:rPr/>
      </w:pPr>
      <w:r>
        <w:rPr>
          <w:rFonts w:ascii="Times New Roman" w:hAnsi="Times New Roman"/>
          <w:color w:val="000000"/>
          <w:sz w:val="20"/>
        </w:rPr>
        <w:t>5.3 Context-dependent trade-offs and structural controls</w:t>
      </w:r>
    </w:p>
    <w:p>
      <w:pPr>
        <w:pStyle w:val="Normal"/>
        <w:spacing w:lineRule="auto" w:line="480" w:before="0" w:after="0"/>
        <w:rPr/>
      </w:pPr>
      <w:r>
        <w:rPr>
          <w:sz w:val="20"/>
        </w:rPr>
        <w:t>Study-1 Pareto analysis produced benefit, equivalence, mixed performance, and disadvantage. Study 2 reached a compatible conclusion through endpoint-specific contrasts rather than reusing the Pareto framework. Under V5, evidence-aware permissiveness could support evidence-qualified recovery while simultaneously carrying an unsafe-permissive difference. Context ablations also showed scenario-specific dependencies: removing mission or contact context increased unsafe-permissive behavior in the unauthorized-command context, whereas a security-only update/recovery ablation prevented qualified recovery and added restricted recovery time. Labels such as mission aware, fail closed, risk threshold, or evidence aware therefore describe mechanisms, not guarantees.</w:t>
      </w:r>
    </w:p>
    <w:p>
      <w:pPr>
        <w:pStyle w:val="Normal"/>
        <w:spacing w:lineRule="auto" w:line="480" w:before="0" w:after="0"/>
        <w:rPr/>
      </w:pPr>
      <w:r>
        <w:rPr>
          <w:color w:val="000000"/>
          <w:sz w:val="20"/>
        </w:rPr>
        <w:t>Block C provides a useful negative control but not causal discrimination evidence. Its BENIGN/ADVERSARIAL label does not alter hidden truth or generated policy-visible evidence within each ambiguity family, so the 54 zero contrasts demonstrate structural label invariance only. A genuine fault-versus-attack ambiguity experiment would need distinct hidden causal mechanisms with deliberately matched or overlapping observables.</w:t>
      </w:r>
    </w:p>
    <w:p>
      <w:pPr>
        <w:pStyle w:val="Heading2"/>
        <w:spacing w:lineRule="auto" w:line="480" w:before="160" w:after="0"/>
        <w:rPr/>
      </w:pPr>
      <w:r>
        <w:rPr>
          <w:rFonts w:ascii="Times New Roman" w:hAnsi="Times New Roman"/>
          <w:color w:val="000000"/>
          <w:sz w:val="20"/>
        </w:rPr>
        <w:t>5.4 Relation to prior work and design implications</w:t>
      </w:r>
    </w:p>
    <w:p>
      <w:pPr>
        <w:pStyle w:val="Normal"/>
        <w:spacing w:lineRule="auto" w:line="480" w:before="0" w:after="0"/>
        <w:rPr/>
      </w:pPr>
      <w:r>
        <w:rPr>
          <w:color w:val="000000"/>
          <w:sz w:val="20"/>
        </w:rPr>
        <w:t>Testbeds, telemetry datasets, trusted autonomy, fault recovery, detection, attack-surface analysis, and cyber-safe recovery are established areas [5, 6, 8, 7, 4, 3, 9, 10, 11, 14]. The contribution here is not ownership of those concepts but a reproducible post-detection comparison that makes authorization, contact, mission cost, evidence sufficiency, producer trust, and recovery qualification measurable together.</w:t>
      </w:r>
    </w:p>
    <w:p>
      <w:pPr>
        <w:pStyle w:val="Normal"/>
        <w:spacing w:lineRule="auto" w:line="480" w:before="0" w:after="0"/>
        <w:rPr/>
      </w:pPr>
      <w:r>
        <w:rPr>
          <w:sz w:val="20"/>
        </w:rPr>
        <w:t>For system design, five questions follow directly: which actions require remote authorization; what action is taken when authorization is absent; which evidence is required before recovery; which evidence producers must remain trustworthy; and what mission/command cost is accepted for containment or fallback. These questions align with response/recovery concerns in cyber-resilience and incident-response guidance [1, 12] without constituting standards compliance.</w:t>
      </w:r>
    </w:p>
    <w:p>
      <w:pPr>
        <w:pStyle w:val="Heading2"/>
        <w:spacing w:lineRule="auto" w:line="480" w:before="160" w:after="0"/>
        <w:rPr/>
      </w:pPr>
      <w:r>
        <w:rPr>
          <w:rFonts w:ascii="Times New Roman" w:hAnsi="Times New Roman"/>
          <w:color w:val="000000"/>
          <w:sz w:val="20"/>
        </w:rPr>
        <w:t>5.5 Limitations and future validation</w:t>
      </w:r>
    </w:p>
    <w:p>
      <w:pPr>
        <w:pStyle w:val="Normal"/>
        <w:spacing w:lineRule="auto" w:line="480" w:before="0" w:after="0"/>
        <w:rPr/>
      </w:pPr>
      <w:r>
        <w:rPr>
          <w:color w:val="000000"/>
          <w:sz w:val="20"/>
        </w:rPr>
        <w:t>Both studies are controlled software-in-the-loop experiments. They do not reproduce full spacecraft dynamics, flight-processor constraints, radio propagation, operational ground networks, orbital-access schedules, or human procedures. Study-1 C1 and Study-2 K0–K4 are synthetic contact constructs; their times must not be interpreted as operational latency. The event/adversary coverage is bounded and does not establish behavior for untested attack chains or mission architectures.</w:t>
      </w:r>
    </w:p>
    <w:p>
      <w:pPr>
        <w:pStyle w:val="Normal"/>
        <w:spacing w:lineRule="auto" w:line="480" w:before="0" w:after="0"/>
        <w:rPr/>
      </w:pPr>
      <w:r>
        <w:rPr>
          <w:color w:val="000000"/>
          <w:sz w:val="20"/>
        </w:rPr>
        <w:t>Study-1 T1 models omission/reduction only; Study 2 uses deterministic synthetic evidence and producer keys and does not test real key theft, supply-chain compromise, hardware roots of trust, or production attestation infrastructure. The bounded formal models strengthen assurance for encoded abstractions but do not verify the complete implementation or operational spacecraft. The response policies are deterministic rules, not learned agents. No Study-1 M03 safety-invariant violations were observed, which is not proof of universal safety. Study-2 Blocks B–E use 32 paired seeds as estimation/sensitivity evidence, so absence of small effects must not be interpreted as equivalence without appropriate design support.</w:t>
      </w:r>
    </w:p>
    <w:p>
      <w:pPr>
        <w:pStyle w:val="Normal"/>
        <w:spacing w:lineRule="auto" w:line="480" w:before="0" w:after="0"/>
        <w:rPr/>
      </w:pPr>
      <w:r>
        <w:rPr>
          <w:color w:val="000000"/>
          <w:sz w:val="20"/>
        </w:rPr>
        <w:t>Neither study includes human participants or operational validation, and neither establishes flightworthiness, certification, or safe production autonomy. Study 1 and Study 2 should remain frozen. Future work should use separate protocols for genuine causal benign-versus-adversarial ambiguity, higher-fidelity orbital/access and radio-frequency-free hardware-in-the-loop validation, human authorization research under appropriate approvals, and evidence-plane assurance under producer/key compromise and independent corroboration.</w:t>
      </w:r>
    </w:p>
    <w:p>
      <w:pPr>
        <w:pStyle w:val="Heading1"/>
        <w:spacing w:lineRule="auto" w:line="480" w:before="160" w:after="0"/>
        <w:rPr/>
      </w:pPr>
      <w:r>
        <w:rPr>
          <w:rFonts w:ascii="Times New Roman" w:hAnsi="Times New Roman"/>
          <w:color w:val="000000"/>
          <w:sz w:val="20"/>
        </w:rPr>
        <w:t>6. Conclusion</w:t>
      </w:r>
    </w:p>
    <w:p>
      <w:pPr>
        <w:pStyle w:val="Normal"/>
        <w:spacing w:lineRule="auto" w:line="480" w:before="0" w:after="0"/>
        <w:rPr/>
      </w:pPr>
      <w:r>
        <w:rPr>
          <w:color w:val="000000"/>
          <w:sz w:val="20"/>
        </w:rPr>
        <w:t>Two separately frozen software-in-the-loop studies evaluated satellite cyber response and trusted recovery without pooling their populations or constructing a global policy score. Study 1 did not demonstrate mission-state dependence on predeclared primary outcomes, but modeled missed contact delayed the ground-authorized path and reduced policy-visible evidence changed deterministic response and recovery behavior. Its Pareto comparisons were condition-specific rather than uniformly favorable.</w:t>
      </w:r>
    </w:p>
    <w:p>
      <w:pPr>
        <w:pStyle w:val="Normal"/>
        <w:spacing w:lineRule="auto" w:line="480" w:before="0" w:after="0"/>
        <w:rPr/>
      </w:pPr>
      <w:r>
        <w:rPr>
          <w:sz w:val="20"/>
        </w:rPr>
        <w:t>Study 2 established a stronger evidence-trust boundary. Under bounded producer compromise, fail-closed and evidence-aware policies could satisfy the evidence-qualified recovery gate in all 96 paired primary observations, although research-only adjudication still classified unsafe-permissive rate as 1.0. Under modeled non-immediate contact, the evidence-aware selector retained unsafe-permissive rate 0 by restricting until the next frozen contact opportunity, whereas the fail-closed baseline became initially unsafe-permissive. Context ablations showed specific dependencies, and Block C remains a structural label-invariance control rather than evidence of causal fault-versus-attack discrimination.</w:t>
      </w:r>
    </w:p>
    <w:p>
      <w:pPr>
        <w:pStyle w:val="Normal"/>
        <w:spacing w:lineRule="auto" w:line="480" w:before="0" w:after="0"/>
        <w:rPr/>
      </w:pPr>
      <w:r>
        <w:rPr>
          <w:color w:val="000000"/>
          <w:sz w:val="20"/>
        </w:rPr>
        <w:t>The combined evidence supports explicit evaluation of authorization, contact, evidence sufficiency, evidence-producer trust, recovery qualification, and mission/command costs. It does not establish operational flight readiness, radio-frequency performance, operator latency, certification, or a universally preferred autonomous policy. The central assurance question is therefore not whether a spacecraft can respond autonomously, but whether the implemented response can contain the modeled threat, preserve prioritized service and command authority, and return to a state supported by evidence that is sufficient and trustworthy under the stated adversary model.</w:t>
      </w:r>
    </w:p>
    <w:p>
      <w:pPr>
        <w:pStyle w:val="Heading1"/>
        <w:spacing w:lineRule="auto" w:line="480" w:before="160" w:after="0"/>
        <w:rPr/>
      </w:pPr>
      <w:r>
        <w:rPr>
          <w:rFonts w:ascii="Times New Roman" w:hAnsi="Times New Roman"/>
          <w:color w:val="000000"/>
          <w:sz w:val="20"/>
        </w:rPr>
        <w:t>7. Declarations, Data Availability, and Reproducibility</w:t>
      </w:r>
    </w:p>
    <w:p>
      <w:pPr>
        <w:pStyle w:val="Heading2"/>
        <w:spacing w:lineRule="auto" w:line="480" w:before="160" w:after="0"/>
        <w:rPr/>
      </w:pPr>
      <w:r>
        <w:rPr>
          <w:rFonts w:ascii="Times New Roman" w:hAnsi="Times New Roman"/>
          <w:color w:val="000000"/>
          <w:sz w:val="20"/>
        </w:rPr>
        <w:t>7.1 Ethics and responsible-research boundary</w:t>
      </w:r>
    </w:p>
    <w:p>
      <w:pPr>
        <w:pStyle w:val="Normal"/>
        <w:spacing w:lineRule="auto" w:line="480" w:before="0" w:after="0"/>
        <w:rPr/>
      </w:pPr>
      <w:r>
        <w:rPr>
          <w:color w:val="000000"/>
          <w:sz w:val="20"/>
        </w:rPr>
        <w:t>The reported studies used no human participants and collected no human-subject data. All identities, commands, mission states, evidence conditions, adversary states, and contact conditions were synthetic or software-emulated on researcher-controlled infrastructure. The research did not access an operational spacecraft or ground station, use operational or stolen credentials, transmit or interfere with radio-frequency systems, intercept non-public communications, or use classified or proprietary mission telemetry. Producer-compromise conditions used frozen research keys and software-generated evidence and do not represent compromise of a real mission organization.</w:t>
      </w:r>
    </w:p>
    <w:p>
      <w:pPr>
        <w:pStyle w:val="Heading2"/>
        <w:spacing w:lineRule="auto" w:line="480" w:before="160" w:after="0"/>
        <w:rPr/>
      </w:pPr>
      <w:r>
        <w:rPr>
          <w:rFonts w:ascii="Times New Roman" w:hAnsi="Times New Roman"/>
          <w:color w:val="000000"/>
          <w:sz w:val="20"/>
        </w:rPr>
        <w:t>7.2 Data and code availability</w:t>
      </w:r>
    </w:p>
    <w:p>
      <w:pPr>
        <w:pStyle w:val="Normal"/>
        <w:spacing w:lineRule="auto" w:line="480" w:before="0" w:after="0"/>
        <w:rPr/>
      </w:pPr>
      <w:r>
        <w:rPr>
          <w:color w:val="000000"/>
          <w:sz w:val="20"/>
        </w:rPr>
        <w:t>Study 1 is publicly archived on Zenodo as Version 1.0.0. Its version digital object identifier (DOI) is 10.5281/zenodo.22181540, and its concept DOI is 10.5281/zenodo.22181539. Its primary statistical population remains exactly 720 VALID observations; nine INVALID attempts are retained as provenance outside statistical membership.</w:t>
      </w:r>
    </w:p>
    <w:p>
      <w:pPr>
        <w:pStyle w:val="Normal"/>
        <w:spacing w:lineRule="auto" w:line="480" w:before="0" w:after="0"/>
        <w:rPr/>
      </w:pPr>
      <w:r>
        <w:rPr>
          <w:color w:val="000000"/>
          <w:sz w:val="20"/>
        </w:rPr>
        <w:t>Study 2 is separately archived on Zenodo as Version 1.0.0, version DOI 10.5281/zenodo.22289114 and concept DOI 10.5281/zenodo.22289113. Its frozen population remains exactly 3,872 VALID observations across 85 cells with zero INVALID attempts. The publicly served Study-2 source-evidence archive was independently re-downloaded and its checksum matched the frozen source-evidence identity.</w:t>
      </w:r>
    </w:p>
    <w:p>
      <w:pPr>
        <w:pStyle w:val="Normal"/>
        <w:spacing w:lineRule="auto" w:line="480" w:before="0" w:after="0"/>
        <w:rPr/>
      </w:pPr>
      <w:r>
        <w:rPr>
          <w:color w:val="000000"/>
          <w:sz w:val="20"/>
        </w:rPr>
        <w:t>The public research repository is https://github.com/Zartharas/mission-aware-satellite-cyber-recovery. Study-1 reproducibility retains a separately reconstructed statistical implementation because the original executable analysis source was not preserved; the reconstruction begins from frozen derived inputs and regression-validates against preserved authoritative outputs. For Study 2, a separate implementation recomputed all frozen result families with zero mismatches. The two study populations remain separate and are not pooled.</w:t>
      </w:r>
    </w:p>
    <w:p>
      <w:pPr>
        <w:pStyle w:val="Heading2"/>
        <w:spacing w:lineRule="auto" w:line="480" w:before="160" w:after="0"/>
        <w:rPr/>
      </w:pPr>
      <w:r>
        <w:rPr>
          <w:rFonts w:ascii="Times New Roman" w:hAnsi="Times New Roman"/>
          <w:color w:val="000000"/>
          <w:sz w:val="20"/>
        </w:rPr>
        <w:t>7.3 Funding</w:t>
      </w:r>
    </w:p>
    <w:p>
      <w:pPr>
        <w:pStyle w:val="Normal"/>
        <w:spacing w:lineRule="auto" w:line="480" w:before="0" w:after="0"/>
        <w:rPr/>
      </w:pPr>
      <w:r>
        <w:rPr>
          <w:color w:val="000000"/>
          <w:sz w:val="20"/>
        </w:rPr>
        <w:t>This research was conducted independently and received no external funding.</w:t>
      </w:r>
    </w:p>
    <w:p>
      <w:pPr>
        <w:pStyle w:val="Heading2"/>
        <w:spacing w:lineRule="auto" w:line="480" w:before="160" w:after="0"/>
        <w:rPr/>
      </w:pPr>
      <w:r>
        <w:rPr>
          <w:rFonts w:ascii="Times New Roman" w:hAnsi="Times New Roman"/>
          <w:color w:val="000000"/>
          <w:sz w:val="20"/>
        </w:rPr>
        <w:t>7.4 Competing interests</w:t>
      </w:r>
    </w:p>
    <w:p>
      <w:pPr>
        <w:pStyle w:val="Normal"/>
        <w:spacing w:lineRule="auto" w:line="480" w:before="0" w:after="0"/>
        <w:rPr/>
      </w:pPr>
      <w:r>
        <w:rPr>
          <w:color w:val="000000"/>
          <w:sz w:val="20"/>
        </w:rPr>
        <w:t>The author declares no competing financial or non-financial interests.</w:t>
      </w:r>
    </w:p>
    <w:p>
      <w:pPr>
        <w:pStyle w:val="Heading2"/>
        <w:spacing w:lineRule="auto" w:line="480" w:before="160" w:after="0"/>
        <w:rPr/>
      </w:pPr>
      <w:r>
        <w:rPr>
          <w:rFonts w:ascii="Times New Roman" w:hAnsi="Times New Roman"/>
          <w:color w:val="000000"/>
          <w:sz w:val="20"/>
        </w:rPr>
        <w:t>7.5 Author contribution</w:t>
      </w:r>
    </w:p>
    <w:p>
      <w:pPr>
        <w:pStyle w:val="Normal"/>
        <w:spacing w:lineRule="auto" w:line="480" w:before="0" w:after="0"/>
        <w:rPr/>
      </w:pPr>
      <w:r>
        <w:rPr>
          <w:color w:val="000000"/>
          <w:sz w:val="20"/>
        </w:rPr>
        <w:t>Aman Kumar Singh: Conceptualization; Methodology; Software; Validation; Formal analysis; Investigation; Resources; Data curation; Writing - original draft; Writing - review and editing; Visualization; Project administration.</w:t>
      </w:r>
    </w:p>
    <w:p>
      <w:pPr>
        <w:pStyle w:val="Heading1"/>
        <w:spacing w:lineRule="auto" w:line="480" w:before="160" w:after="0"/>
        <w:rPr/>
      </w:pPr>
      <w:r>
        <w:rPr>
          <w:rFonts w:ascii="Times New Roman" w:hAnsi="Times New Roman"/>
          <w:color w:val="000000"/>
          <w:sz w:val="20"/>
        </w:rPr>
        <w:t>Main Tables</w:t>
      </w:r>
    </w:p>
    <w:p>
      <w:pPr>
        <w:pStyle w:val="Normal"/>
        <w:spacing w:lineRule="auto" w:line="480" w:before="0" w:after="0"/>
        <w:rPr/>
      </w:pPr>
      <w:r>
        <w:rPr>
          <w:b/>
          <w:color w:val="000000"/>
          <w:sz w:val="20"/>
        </w:rPr>
        <w:t>Table 1. Study 1 frozen population and proposition summary.</w:t>
      </w:r>
    </w:p>
    <w:tbl>
      <w:tblPr>
        <w:tblStyle w:val="TableGrid"/>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872"/>
        <w:gridCol w:w="1872"/>
        <w:gridCol w:w="1872"/>
        <w:gridCol w:w="1872"/>
        <w:gridCol w:w="1872"/>
      </w:tblGrid>
      <w:tr>
        <w:trPr>
          <w:tblHeader w:val="true"/>
          <w:cantSplit w:val="true"/>
        </w:trPr>
        <w:tc>
          <w:tcPr>
            <w:tcW w:w="1872"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Section</w:t>
            </w:r>
          </w:p>
        </w:tc>
        <w:tc>
          <w:tcPr>
            <w:tcW w:w="1872"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Item</w:t>
            </w:r>
          </w:p>
        </w:tc>
        <w:tc>
          <w:tcPr>
            <w:tcW w:w="1872"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Endpoints or scope</w:t>
            </w:r>
          </w:p>
        </w:tc>
        <w:tc>
          <w:tcPr>
            <w:tcW w:w="1872"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Principal result</w:t>
            </w:r>
          </w:p>
        </w:tc>
        <w:tc>
          <w:tcPr>
            <w:tcW w:w="1872"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Status or note</w:t>
            </w:r>
          </w:p>
        </w:tc>
      </w:tr>
      <w:tr>
        <w:trPr>
          <w:cantSplit w:val="true"/>
        </w:trPr>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Population</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Primary analysis</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24 cells x 30 seeds</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720 frozen VALID observations</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All 720 retained in primary analysis</w:t>
            </w:r>
          </w:p>
        </w:tc>
      </w:tr>
      <w:tr>
        <w:trPr>
          <w:cantSplit w:val="true"/>
        </w:trPr>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Population</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M05 event/censor binding</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M05 verified recovery</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180 observed recovery events; 540 right-censored at 30 s</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Administrative censoring explicit</w:t>
            </w:r>
          </w:p>
        </w:tc>
      </w:tr>
      <w:tr>
        <w:trPr>
          <w:cantSplit w:val="true"/>
        </w:trPr>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Population</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M03 endpoint</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M03 safety-invariant violations</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0 violations across 720 VALID observations</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Structural zero; not proof of universal safety</w:t>
            </w:r>
          </w:p>
        </w:tc>
      </w:tr>
      <w:tr>
        <w:trPr>
          <w:cantSplit w:val="true"/>
        </w:trPr>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P1</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Mission-state dependence</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M01; M02; M03; M06</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Applicable predeclared policy-by-state contrasts/interactions exactly 0</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Not supported on predeclared primary outcomes</w:t>
            </w:r>
          </w:p>
        </w:tc>
      </w:tr>
      <w:tr>
        <w:trPr>
          <w:cantSplit w:val="true"/>
        </w:trPr>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P2</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Modeled contact-delay effect</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M04; M05; M07</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Modeled C1 materially delayed P6 timing while P7 was approximately unchanged</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Strongly supported for timing/divergence effects</w:t>
            </w:r>
          </w:p>
        </w:tc>
      </w:tr>
      <w:tr>
        <w:trPr>
          <w:cantSplit w:val="true"/>
        </w:trPr>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P3</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Evidence-dependent recovery</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Terminal recovery; evidence; M07 supporting timing</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A11 P7/T0 trusted 30/30 versus A13 P7/T1 trusted 0/30 and failed 30/30</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Supported in broader evidence-dependent recovery form; narrower restoration-without-verification mechanism absent</w:t>
            </w:r>
          </w:p>
        </w:tc>
      </w:tr>
      <w:tr>
        <w:trPr>
          <w:cantSplit w:val="true"/>
        </w:trPr>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P4</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Degraded-evidence selection/consequence</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Effective policy/action; M02; M06; terminal outcomes</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Degraded evidence changed actual P7 selection/action pathways and downstream mission/recovery outcomes</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Supported with bounded selection/consequence semantics; no objective correctness oracle</w:t>
            </w:r>
          </w:p>
        </w:tc>
      </w:tr>
      <w:tr>
        <w:trPr>
          <w:cantSplit w:val="true"/>
        </w:trPr>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P5</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Conditional mission-aware benefit</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M01; M02; M03; M05; M06</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P7 on point-estimate Pareto front in 5/9 groups and point-dominated in G04 G05 G06 G09</w:t>
            </w:r>
          </w:p>
        </w:tc>
        <w:tc>
          <w:tcPr>
            <w:tcW w:w="1872"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Conditionally supported; 5/9 is not a success rate; no global policy winner</w:t>
            </w:r>
          </w:p>
        </w:tc>
      </w:tr>
      <w:tr>
        <w:trPr>
          <w:cantSplit w:val="true"/>
        </w:trPr>
        <w:tc>
          <w:tcPr>
            <w:tcW w:w="1872"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Robustness</w:t>
            </w:r>
          </w:p>
        </w:tc>
        <w:tc>
          <w:tcPr>
            <w:tcW w:w="1872"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Execution provenance</w:t>
            </w:r>
          </w:p>
        </w:tc>
        <w:tc>
          <w:tcPr>
            <w:tcW w:w="1872"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720 primary plus 696-observation sensitivity</w:t>
            </w:r>
          </w:p>
        </w:tc>
        <w:tc>
          <w:tcPr>
            <w:tcW w:w="1872"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VALID distribution 1/9/710 across commits A/B/C; 29-seed final-C sensitivity preserves all P5 relations</w:t>
            </w:r>
          </w:p>
        </w:tc>
        <w:tc>
          <w:tcPr>
            <w:tcW w:w="1872"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Primary population unchanged; sensitivity only</w:t>
            </w:r>
          </w:p>
        </w:tc>
      </w:tr>
    </w:tbl>
    <w:p>
      <w:pPr>
        <w:pStyle w:val="Normal"/>
        <w:rPr/>
      </w:pPr>
      <w:r>
        <w:rPr/>
      </w:r>
    </w:p>
    <w:p>
      <w:pPr>
        <w:pStyle w:val="Normal"/>
        <w:spacing w:lineRule="auto" w:line="480" w:before="0" w:after="0"/>
        <w:rPr/>
      </w:pPr>
      <w:r>
        <w:rPr>
          <w:b/>
          <w:color w:val="000000"/>
          <w:sz w:val="20"/>
        </w:rPr>
        <w:t>Table 2. Study 1 modeled contact effects.</w:t>
      </w:r>
    </w:p>
    <w:tbl>
      <w:tblPr>
        <w:tblStyle w:val="TableGrid"/>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560"/>
        <w:gridCol w:w="1559"/>
        <w:gridCol w:w="1561"/>
        <w:gridCol w:w="1560"/>
        <w:gridCol w:w="1559"/>
        <w:gridCol w:w="1560"/>
      </w:tblGrid>
      <w:tr>
        <w:trPr>
          <w:tblHeader w:val="true"/>
          <w:cantSplit w:val="true"/>
        </w:trPr>
        <w:tc>
          <w:tcPr>
            <w:tcW w:w="1560"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Endpoint</w:t>
            </w:r>
          </w:p>
        </w:tc>
        <w:tc>
          <w:tcPr>
            <w:tcW w:w="1559"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Estimand</w:t>
            </w:r>
          </w:p>
        </w:tc>
        <w:tc>
          <w:tcPr>
            <w:tcW w:w="1561"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Estimate (s)</w:t>
            </w:r>
          </w:p>
        </w:tc>
        <w:tc>
          <w:tcPr>
            <w:tcW w:w="1560"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95% CI low (s)</w:t>
            </w:r>
          </w:p>
        </w:tc>
        <w:tc>
          <w:tcPr>
            <w:tcW w:w="1559"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95% CI high (s)</w:t>
            </w:r>
          </w:p>
        </w:tc>
        <w:tc>
          <w:tcPr>
            <w:tcW w:w="1560"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Analysis note</w:t>
            </w:r>
          </w:p>
        </w:tc>
      </w:tr>
      <w:tr>
        <w:trPr>
          <w:cantSplit w:val="true"/>
        </w:trPr>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M04 containment RMST</w:t>
            </w:r>
          </w:p>
        </w:tc>
        <w:tc>
          <w:tcPr>
            <w:tcW w:w="155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P6 C1-C0</w:t>
            </w:r>
          </w:p>
        </w:tc>
        <w:tc>
          <w:tcPr>
            <w:tcW w:w="1561"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10.0831</w:t>
            </w:r>
          </w:p>
        </w:tc>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9.8304</w:t>
            </w:r>
          </w:p>
        </w:tc>
        <w:tc>
          <w:tcPr>
            <w:tcW w:w="155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10.3735</w:t>
            </w:r>
          </w:p>
        </w:tc>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tau=30 s; C1 is one synthetic/modelled missed-contact window</w:t>
            </w:r>
          </w:p>
        </w:tc>
      </w:tr>
      <w:tr>
        <w:trPr>
          <w:cantSplit w:val="true"/>
        </w:trPr>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M04 containment RMST</w:t>
            </w:r>
          </w:p>
        </w:tc>
        <w:tc>
          <w:tcPr>
            <w:tcW w:w="155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P7 C1-C0</w:t>
            </w:r>
          </w:p>
        </w:tc>
        <w:tc>
          <w:tcPr>
            <w:tcW w:w="1561"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-0.0425</w:t>
            </w:r>
          </w:p>
        </w:tc>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-0.1977</w:t>
            </w:r>
          </w:p>
        </w:tc>
        <w:tc>
          <w:tcPr>
            <w:tcW w:w="155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0.0899</w:t>
            </w:r>
          </w:p>
        </w:tc>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tau=30 s; autonomous P7 path</w:t>
            </w:r>
          </w:p>
        </w:tc>
      </w:tr>
      <w:tr>
        <w:trPr>
          <w:cantSplit w:val="true"/>
        </w:trPr>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M04 containment RMST</w:t>
            </w:r>
          </w:p>
        </w:tc>
        <w:tc>
          <w:tcPr>
            <w:tcW w:w="155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P6-minus-P7 interaction</w:t>
            </w:r>
          </w:p>
        </w:tc>
        <w:tc>
          <w:tcPr>
            <w:tcW w:w="1561"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10.1256</w:t>
            </w:r>
          </w:p>
        </w:tc>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9.7859</w:t>
            </w:r>
          </w:p>
        </w:tc>
        <w:tc>
          <w:tcPr>
            <w:tcW w:w="155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10.5176</w:t>
            </w:r>
          </w:p>
        </w:tc>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seed-block bootstrap interval</w:t>
            </w:r>
          </w:p>
        </w:tc>
      </w:tr>
      <w:tr>
        <w:trPr>
          <w:cantSplit w:val="true"/>
        </w:trPr>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M05 verified-recovery RMST</w:t>
            </w:r>
          </w:p>
        </w:tc>
        <w:tc>
          <w:tcPr>
            <w:tcW w:w="155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P6 C1-C0</w:t>
            </w:r>
          </w:p>
        </w:tc>
        <w:tc>
          <w:tcPr>
            <w:tcW w:w="1561"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10.4246</w:t>
            </w:r>
          </w:p>
        </w:tc>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9.6567</w:t>
            </w:r>
          </w:p>
        </w:tc>
        <w:tc>
          <w:tcPr>
            <w:tcW w:w="155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11.3598</w:t>
            </w:r>
          </w:p>
        </w:tc>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tau=30 s; right-censoring retained</w:t>
            </w:r>
          </w:p>
        </w:tc>
      </w:tr>
      <w:tr>
        <w:trPr>
          <w:cantSplit w:val="true"/>
        </w:trPr>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M05 verified-recovery RMST</w:t>
            </w:r>
          </w:p>
        </w:tc>
        <w:tc>
          <w:tcPr>
            <w:tcW w:w="155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P7 C1-C0</w:t>
            </w:r>
          </w:p>
        </w:tc>
        <w:tc>
          <w:tcPr>
            <w:tcW w:w="1561"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-0.1808</w:t>
            </w:r>
          </w:p>
        </w:tc>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-0.7194</w:t>
            </w:r>
          </w:p>
        </w:tc>
        <w:tc>
          <w:tcPr>
            <w:tcW w:w="155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0.2767</w:t>
            </w:r>
          </w:p>
        </w:tc>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tau=30 s; right-censoring retained</w:t>
            </w:r>
          </w:p>
        </w:tc>
      </w:tr>
      <w:tr>
        <w:trPr>
          <w:cantSplit w:val="true"/>
        </w:trPr>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M05 verified-recovery RMST</w:t>
            </w:r>
          </w:p>
        </w:tc>
        <w:tc>
          <w:tcPr>
            <w:tcW w:w="155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P6-minus-P7 interaction</w:t>
            </w:r>
          </w:p>
        </w:tc>
        <w:tc>
          <w:tcPr>
            <w:tcW w:w="1561"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10.6054</w:t>
            </w:r>
          </w:p>
        </w:tc>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9.5343</w:t>
            </w:r>
          </w:p>
        </w:tc>
        <w:tc>
          <w:tcPr>
            <w:tcW w:w="155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11.9023</w:t>
            </w:r>
          </w:p>
        </w:tc>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seed-block bootstrap interval</w:t>
            </w:r>
          </w:p>
        </w:tc>
      </w:tr>
      <w:tr>
        <w:trPr>
          <w:cantSplit w:val="true"/>
        </w:trPr>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M07 ground/spacecraft divergence</w:t>
            </w:r>
          </w:p>
        </w:tc>
        <w:tc>
          <w:tcPr>
            <w:tcW w:w="155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P6 C1-C0</w:t>
            </w:r>
          </w:p>
        </w:tc>
        <w:tc>
          <w:tcPr>
            <w:tcW w:w="1561"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10.0676</w:t>
            </w:r>
          </w:p>
        </w:tc>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9.8438</w:t>
            </w:r>
          </w:p>
        </w:tc>
        <w:tc>
          <w:tcPr>
            <w:tcW w:w="155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10.3260</w:t>
            </w:r>
          </w:p>
        </w:tc>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modeled divergence duration</w:t>
            </w:r>
          </w:p>
        </w:tc>
      </w:tr>
      <w:tr>
        <w:trPr>
          <w:cantSplit w:val="true"/>
        </w:trPr>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M07 ground/spacecraft divergence</w:t>
            </w:r>
          </w:p>
        </w:tc>
        <w:tc>
          <w:tcPr>
            <w:tcW w:w="155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P7 C1-C0</w:t>
            </w:r>
          </w:p>
        </w:tc>
        <w:tc>
          <w:tcPr>
            <w:tcW w:w="1561"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-0.0390</w:t>
            </w:r>
          </w:p>
        </w:tc>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-0.1690</w:t>
            </w:r>
          </w:p>
        </w:tc>
        <w:tc>
          <w:tcPr>
            <w:tcW w:w="155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0.0709</w:t>
            </w:r>
          </w:p>
        </w:tc>
        <w:tc>
          <w:tcPr>
            <w:tcW w:w="156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modeled divergence duration</w:t>
            </w:r>
          </w:p>
        </w:tc>
      </w:tr>
      <w:tr>
        <w:trPr>
          <w:cantSplit w:val="true"/>
        </w:trPr>
        <w:tc>
          <w:tcPr>
            <w:tcW w:w="1560"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M07 ground/spacecraft divergence</w:t>
            </w:r>
          </w:p>
        </w:tc>
        <w:tc>
          <w:tcPr>
            <w:tcW w:w="1559"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P6-minus-P7 interaction</w:t>
            </w:r>
          </w:p>
        </w:tc>
        <w:tc>
          <w:tcPr>
            <w:tcW w:w="1561"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10.1066</w:t>
            </w:r>
          </w:p>
        </w:tc>
        <w:tc>
          <w:tcPr>
            <w:tcW w:w="1560"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9.8135</w:t>
            </w:r>
          </w:p>
        </w:tc>
        <w:tc>
          <w:tcPr>
            <w:tcW w:w="1559"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10.4499</w:t>
            </w:r>
          </w:p>
        </w:tc>
        <w:tc>
          <w:tcPr>
            <w:tcW w:w="1560"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seed-block bootstrap interval</w:t>
            </w:r>
          </w:p>
        </w:tc>
      </w:tr>
    </w:tbl>
    <w:p>
      <w:pPr>
        <w:pStyle w:val="Normal"/>
        <w:rPr/>
      </w:pPr>
      <w:r>
        <w:rPr/>
      </w:r>
    </w:p>
    <w:p>
      <w:pPr>
        <w:pStyle w:val="Normal"/>
        <w:spacing w:lineRule="auto" w:line="480" w:before="0" w:after="0"/>
        <w:rPr/>
      </w:pPr>
      <w:r>
        <w:rPr>
          <w:b/>
          <w:color w:val="000000"/>
          <w:sz w:val="20"/>
        </w:rPr>
        <w:t>Table 3. Study 1 evidence-dependent recovery and selection pathways.</w:t>
      </w:r>
    </w:p>
    <w:tbl>
      <w:tblPr>
        <w:tblStyle w:val="TableGrid"/>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40"/>
        <w:gridCol w:w="2340"/>
        <w:gridCol w:w="2340"/>
        <w:gridCol w:w="2339"/>
      </w:tblGrid>
      <w:tr>
        <w:trPr>
          <w:tblHeader w:val="true"/>
          <w:cantSplit w:val="true"/>
        </w:trPr>
        <w:tc>
          <w:tcPr>
            <w:tcW w:w="2340"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Case</w:t>
            </w:r>
          </w:p>
        </w:tc>
        <w:tc>
          <w:tcPr>
            <w:tcW w:w="2340"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Policy path / action</w:t>
            </w:r>
          </w:p>
        </w:tc>
        <w:tc>
          <w:tcPr>
            <w:tcW w:w="2340"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Frozen outcomes</w:t>
            </w:r>
          </w:p>
        </w:tc>
        <w:tc>
          <w:tcPr>
            <w:tcW w:w="2339"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Interpretation</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A04 (E1, T0)</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P7→P2; RESTRICT HIGH RISK COMMANDS</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M02=0.5; trusted recovery=0/30; recovery failed=0/30; M06=0.0</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Full-evidence P7 E1 pathway; terminal outcome operational/unverified rather than trusted recovery</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A09 (E1, T1)</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P7→P4; ENTER SAFE MODE</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M02=0.0; trusted recovery=0/30; recovery failed=0/30; M06=1.0</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Degraded-evidence P7 E1 pathway; experimental modeled safe-mode action; contained 30/30</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A14 (E3, T0)</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P5→P5; REQUEST VERIFIED ROLLBACK</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M02=1.0; trusted recovery=30/30; recovery failed=0/30; M06=0.0</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Fixed P5 retained trusted recovery</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A15 (E3, T1)</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P5→P5; REQUEST VERIFIED ROLLBACK</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M02=1.0; trusted recovery=30/30; recovery failed=0/30; M06=0.0</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Fixed P5 retained trusted recovery under degraded evidence</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A11 (E3, T0)</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P7→P5; REQUEST VERIFIED ROLLBACK</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M02=1.0; trusted recovery=30/30; recovery failed=0/30; M06=0.0</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Full-evidence P7 selected verified rollback</w:t>
            </w:r>
          </w:p>
        </w:tc>
      </w:tr>
      <w:tr>
        <w:trPr>
          <w:cantSplit w:val="true"/>
        </w:trPr>
        <w:tc>
          <w:tcPr>
            <w:tcW w:w="2340"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A13 (E3, T1)</w:t>
            </w:r>
          </w:p>
        </w:tc>
        <w:tc>
          <w:tcPr>
            <w:tcW w:w="2340"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P7→P2; evidence insufficient; then RESTRICT HIGH RISK COMMANDS</w:t>
            </w:r>
          </w:p>
        </w:tc>
        <w:tc>
          <w:tcPr>
            <w:tcW w:w="2340"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M02=0.5; trusted recovery=0/30; recovery failed=30/30; M06=0.0</w:t>
            </w:r>
          </w:p>
        </w:tc>
        <w:tc>
          <w:tcPr>
            <w:tcW w:w="2339"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Degraded-evidence P7 entered evidence-insufficient basis and failed recovery 30/30; narrower restoration-without-verification mechanism absent</w:t>
            </w:r>
          </w:p>
        </w:tc>
      </w:tr>
    </w:tbl>
    <w:p>
      <w:pPr>
        <w:pStyle w:val="Normal"/>
        <w:rPr/>
      </w:pPr>
      <w:r>
        <w:rPr/>
      </w:r>
    </w:p>
    <w:p>
      <w:pPr>
        <w:pStyle w:val="Normal"/>
        <w:spacing w:lineRule="auto" w:line="480" w:before="0" w:after="0"/>
        <w:rPr/>
      </w:pPr>
      <w:r>
        <w:rPr>
          <w:b/>
          <w:color w:val="000000"/>
          <w:sz w:val="20"/>
        </w:rPr>
        <w:t>Table 4. Study 1 condition-specific Pareto relations.</w:t>
      </w:r>
    </w:p>
    <w:tbl>
      <w:tblPr>
        <w:tblStyle w:val="TableGrid"/>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40"/>
        <w:gridCol w:w="2340"/>
        <w:gridCol w:w="2340"/>
        <w:gridCol w:w="2339"/>
      </w:tblGrid>
      <w:tr>
        <w:trPr>
          <w:tblHeader w:val="true"/>
          <w:cantSplit w:val="true"/>
        </w:trPr>
        <w:tc>
          <w:tcPr>
            <w:tcW w:w="2340"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Group / P7</w:t>
            </w:r>
          </w:p>
        </w:tc>
        <w:tc>
          <w:tcPr>
            <w:tcW w:w="2340"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Point-estimate relation</w:t>
            </w:r>
          </w:p>
        </w:tc>
        <w:tc>
          <w:tcPr>
            <w:tcW w:w="2340"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Marginal-interval interpretation</w:t>
            </w:r>
          </w:p>
        </w:tc>
        <w:tc>
          <w:tcPr>
            <w:tcW w:w="2339"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Category</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G01 / A02 / P1</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Front=yes; Tie with A01/P1</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No marginal dominance claim retained; empirical tie/equivalence only</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Tie/equivalence</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G02 / A04 / P2</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Front=yes; Ties with A03/P1 and A07/P2</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No marginal dominance claim retained; empirical tie/equivalence only</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Tie/equivalence</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G03 / A06 / P2</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Front=yes; Tie with A05/P1</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No marginal dominance claim retained; empirical tie/equivalence only</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Tie/equivalence</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G04 / A09 / P4</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Front=no; Dominated by A08/P2</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Marginal intervals support comparator dominance</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Comparator-supported disadvantage</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G05 / A11 / P5</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Front=no; Dominates A10/P2 and A16/P6; point-dominated by A14/P5 through M05 RMST 3.9819393339 s vs 3.8009359910 s</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P7 dominance supported versus A10/P2; A14/P5 comparison uncertain/tied under marginal intervals</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Mixed</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G06 / A13 / P2</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Front=no; Tied with A12/P2; dominated by A15/P5</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Marginal intervals support comparator dominance versus A15/P5</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Comparator-supported disadvantage</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G07 / A18 / P5</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Front=yes; Unique front member; dominates A17/P6</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Marginal intervals support P7 dominance</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P7-supported benefit</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G08 / A21 / P1</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Front=yes; Dominates A19/P0; ties A20/P1</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Marginal intervals support P7 dominance versus A19/P0</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P7-supported benefit</w:t>
            </w:r>
          </w:p>
        </w:tc>
      </w:tr>
      <w:tr>
        <w:trPr>
          <w:cantSplit w:val="true"/>
        </w:trPr>
        <w:tc>
          <w:tcPr>
            <w:tcW w:w="2340"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G09 / A24 / P4</w:t>
            </w:r>
          </w:p>
        </w:tc>
        <w:tc>
          <w:tcPr>
            <w:tcW w:w="2340"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Front=no; Tied with A23/P4; dominated by A22/P0</w:t>
            </w:r>
          </w:p>
        </w:tc>
        <w:tc>
          <w:tcPr>
            <w:tcW w:w="2340"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Marginal intervals support comparator dominance versus A22/P0</w:t>
            </w:r>
          </w:p>
        </w:tc>
        <w:tc>
          <w:tcPr>
            <w:tcW w:w="2339"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Comparator-supported disadvantage</w:t>
            </w:r>
          </w:p>
        </w:tc>
      </w:tr>
    </w:tbl>
    <w:p>
      <w:pPr>
        <w:pStyle w:val="Normal"/>
        <w:rPr/>
      </w:pPr>
      <w:r>
        <w:rPr/>
      </w:r>
    </w:p>
    <w:p>
      <w:pPr>
        <w:pStyle w:val="Normal"/>
        <w:spacing w:lineRule="auto" w:line="480" w:before="0" w:after="0"/>
        <w:rPr/>
      </w:pPr>
      <w:r>
        <w:rPr>
          <w:b/>
          <w:color w:val="000000"/>
          <w:sz w:val="20"/>
        </w:rPr>
        <w:t>Table 5. Study 2 prespecified findings.</w:t>
      </w:r>
    </w:p>
    <w:tbl>
      <w:tblPr>
        <w:tblStyle w:val="TableGrid"/>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40"/>
        <w:gridCol w:w="2340"/>
        <w:gridCol w:w="2340"/>
        <w:gridCol w:w="2339"/>
      </w:tblGrid>
      <w:tr>
        <w:trPr>
          <w:tblHeader w:val="true"/>
          <w:cantSplit w:val="true"/>
        </w:trPr>
        <w:tc>
          <w:tcPr>
            <w:tcW w:w="2340"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RQ / contrast</w:t>
            </w:r>
          </w:p>
        </w:tc>
        <w:tc>
          <w:tcPr>
            <w:tcW w:w="2340"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Policy / scope</w:t>
            </w:r>
          </w:p>
        </w:tc>
        <w:tc>
          <w:tcPr>
            <w:tcW w:w="2340"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Frozen finding</w:t>
            </w:r>
          </w:p>
        </w:tc>
        <w:tc>
          <w:tcPr>
            <w:tcW w:w="2339" w:type="dxa"/>
            <w:tcBorders>
              <w:top w:val="double" w:sz="6" w:space="0" w:color="000000"/>
              <w:start w:val="nil"/>
              <w:bottom w:val="sing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0000"/>
                <w:kern w:val="0"/>
                <w:sz w:val="16"/>
                <w:szCs w:val="22"/>
                <w:lang w:val="en-US" w:eastAsia="en-US" w:bidi="ar-SA"/>
              </w:rPr>
              <w:t>Interpretation boundary</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RQ1: V1-V4 versus V0</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B0 fail-closed and S1 evidence-aware</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Omission, stale/replay, contradiction, and post-signature manipulation changed the frozen recovery-gate behavior to restrictive/hold; under the frozen hidden prerequisites the adjudicated unsafe-permissive rate changed by -1.0 versus V0.</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Effect is specific to the frozen Block-A scenarios and endpoints; it is not a universal security score.</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RQ1: V5 versus V0</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B0 fail-closed and S1 evidence-aware</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Evidence-qualified trusted recovery increased by +1.0 and restricted recovery time changed by -230 logical SIL seconds, while adjudicated unsafe-permissive remained 1.0.</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Authenticated/current policy-visible evidence can still be false relative to research-only adjudication truth under the bounded producer-compromise model; evidence qualification is not objective correctness.</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RQ1: Policy comparison within Block A</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S1 evidence-aware versus baselines</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S1 evidence-aware and B0 fail-closed had identical primary endpoint estimates; comparisons with B2 risk-threshold showed endpoint-specific permissiveness/recovery trade-offs.</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No global policy rank or weighted score is supported.</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RQ2: K0-S2 contact profiles</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S1 evidence-aware</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Evidence-qualified recovery occurred at 10, 25, 65, 185, and 30 logical SIL seconds for K0, K1, K2, K3, and K4 respectively; unsafe-permissive rate remained 0.</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K4 is an intermittent/flapping profile and is not ordinal severity 4; logical SIL seconds are not operational latency.</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RQ2: Non-K0 versus K0</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B0 fail-closed</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Initial permissive action under unavailable authorization produced an unsafe-permissive increase of +1.0 versus K0 for K1, K2, K3, and K4; the K0-K3 unsafe-permissive slope was +0.3 per ordered step.</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Contact effects are properties of the modeled authorization/contact contract, not real ground-station or operator timing.</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RQ3: BENIGN versus ADVERSARIAL labels</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fault/attack ambiguity control</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All 54 prespecified C-family endpoint contrasts were zero; 0/54 Holm-adjusted contrasts were rejected.</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Structural label-invariance/control only: within each ambiguity family the cause label changes neither hidden truth nor generated policy-visible evidence; this is not empirical benign-versus-adversarial causal discrimination evidence.</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RQ4: Context ablations</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S1 evidence-aware and prespecified ablations</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Removing mission or contact context in the unauthorized-command context increased unsafe-permissive rate by +1.0; in update/recovery the security-only ablation reduced evidence-qualified recovery by 1.0 and increased restricted recovery time by 230 logical SIL seconds.</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Secondary n=32 sensitivity/estimation evidence; supports specific context dependencies rather than a universal dominant variable.</w:t>
            </w:r>
          </w:p>
        </w:tc>
      </w:tr>
      <w:tr>
        <w:trPr>
          <w:cantSplit w:val="true"/>
        </w:trPr>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RQ5: A3/K0 versus A1/K0</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All three Block-E policies</w:t>
            </w:r>
          </w:p>
        </w:tc>
        <w:tc>
          <w:tcPr>
            <w:tcW w:w="2340"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A3/K0 produced residual unauthorized state in all policies (+1.0 versus A1/K0); B0 fail-closed and S1 evidence-aware nevertheless reached evidence-qualified recovery.</w:t>
            </w:r>
          </w:p>
        </w:tc>
        <w:tc>
          <w:tcPr>
            <w:tcW w:w="2339" w:type="dxa"/>
            <w:tcBorders>
              <w:top w:val="nil"/>
              <w:start w:val="nil"/>
              <w:bottom w:val="nil"/>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Reinforces that policy-visible recovery qualification does not guarantee objective correctness when multiple producers are controlled.</w:t>
            </w:r>
          </w:p>
        </w:tc>
      </w:tr>
      <w:tr>
        <w:trPr>
          <w:cantSplit w:val="true"/>
        </w:trPr>
        <w:tc>
          <w:tcPr>
            <w:tcW w:w="2340"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RQ5: A2/K2 coupled profile</w:t>
            </w:r>
          </w:p>
        </w:tc>
        <w:tc>
          <w:tcPr>
            <w:tcW w:w="2340"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S1 evidence-aware versus B0 fail-closed</w:t>
            </w:r>
          </w:p>
        </w:tc>
        <w:tc>
          <w:tcPr>
            <w:tcW w:w="2340"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The evidence-aware selector withheld recovery while the fail-closed baseline recovered with an unsafe-permissive response.</w:t>
            </w:r>
          </w:p>
        </w:tc>
        <w:tc>
          <w:tcPr>
            <w:tcW w:w="2339" w:type="dxa"/>
            <w:tcBorders>
              <w:top w:val="nil"/>
              <w:start w:val="nil"/>
              <w:bottom w:val="double" w:sz="6" w:space="0" w:color="000000"/>
              <w:end w:val="nil"/>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6"/>
                <w:szCs w:val="22"/>
                <w:lang w:val="en-US" w:eastAsia="en-US" w:bidi="ar-SA"/>
              </w:rPr>
              <w:t>A2/K2 is a coupled producer-compromise/contact-loss profile and must not be described as an unconfounded adversary-only effect.</w:t>
            </w:r>
          </w:p>
        </w:tc>
      </w:tr>
    </w:tbl>
    <w:p>
      <w:pPr>
        <w:pStyle w:val="Normal"/>
        <w:rPr/>
      </w:pPr>
      <w:r>
        <w:rPr/>
      </w:r>
    </w:p>
    <w:p>
      <w:pPr>
        <w:pStyle w:val="Heading1"/>
        <w:rPr/>
      </w:pPr>
      <w:r>
        <w:rPr>
          <w:b w:val="false"/>
        </w:rPr>
        <w:t>Acknowledgments</w:t>
      </w:r>
    </w:p>
    <w:p>
      <w:pPr>
        <w:pStyle w:val="Normal"/>
        <w:spacing w:lineRule="auto" w:line="480"/>
        <w:rPr/>
      </w:pPr>
      <w:r>
        <w:rPr>
          <w:b w:val="false"/>
        </w:rPr>
        <w:t>OpenAI ChatGPT was used after the relevant experimental and analytical freezes to assist with language refinement, source checking, manuscript organization, reproducibility documentation, and submission preparation. The author reviewed and verified all resulting text and remains fully responsible for the manuscript. The tool did not generate experimental observations, alter frozen populations or exclusions, modify the frozen Study 2 analyzer, or operate the evaluated response policies.</w:t>
      </w:r>
    </w:p>
    <w:p>
      <w:pPr>
        <w:pStyle w:val="Heading1"/>
        <w:spacing w:lineRule="auto" w:line="480" w:before="160" w:after="0"/>
        <w:rPr/>
      </w:pPr>
      <w:r>
        <w:rPr>
          <w:rFonts w:ascii="Times New Roman" w:hAnsi="Times New Roman"/>
          <w:color w:val="000000"/>
          <w:sz w:val="20"/>
        </w:rPr>
        <w:t>References</w:t>
      </w:r>
    </w:p>
    <w:p>
      <w:pPr>
        <w:pStyle w:val="Normal"/>
        <w:spacing w:lineRule="auto" w:line="480" w:before="0" w:after="0"/>
        <w:rPr/>
      </w:pPr>
      <w:r>
        <w:rPr>
          <w:color w:val="000000"/>
          <w:sz w:val="20"/>
        </w:rPr>
        <w:t>[1] Ross, R., Pillitteri, V., Graubart, R., Bodeau, D., and McQuaid, R., “Developing Cyber-Resilient Systems: A Systems Security Engineering Approach,” National Institute of Standards and Technology, Special Publication 800-160, Vol. 2, Rev. 1, Gaithersburg, MD, 2021. https://doi.org/10.6028/NIST.SP.800-160v2r1</w:t>
      </w:r>
    </w:p>
    <w:p>
      <w:pPr>
        <w:pStyle w:val="Normal"/>
        <w:spacing w:lineRule="auto" w:line="480" w:before="0" w:after="0"/>
        <w:rPr/>
      </w:pPr>
      <w:r>
        <w:rPr>
          <w:color w:val="000000"/>
          <w:sz w:val="20"/>
        </w:rPr>
        <w:t>[2] Bakirtzis, G., Carter, B., Fleming, C. H., and Elks, C. R., “Mission Aware Cyber-Physical Security,” Systems Engineering, Vol. 29, No. 2, 2026, pp. 354–367. https://doi.org/10.1002/sys.70018</w:t>
      </w:r>
    </w:p>
    <w:p>
      <w:pPr>
        <w:pStyle w:val="Normal"/>
        <w:spacing w:lineRule="auto" w:line="480" w:before="0" w:after="0"/>
        <w:rPr/>
      </w:pPr>
      <w:r>
        <w:rPr>
          <w:color w:val="000000"/>
          <w:sz w:val="20"/>
        </w:rPr>
        <w:t>[3] Wanninger, S., “Knowledge-Based Satellite Failure Detection, Isolation and Recovery (FDIR),” CEAS Space Journal, Vol. 18, Sept. 2026, pp. 991–1004. https://doi.org/10.1007/s12567-025-00651-6</w:t>
      </w:r>
    </w:p>
    <w:p>
      <w:pPr>
        <w:pStyle w:val="Normal"/>
        <w:spacing w:lineRule="auto" w:line="480" w:before="0" w:after="0"/>
        <w:rPr/>
      </w:pPr>
      <w:r>
        <w:rPr>
          <w:color w:val="000000"/>
          <w:sz w:val="20"/>
        </w:rPr>
        <w:t>[4] Thangavel, K., Sabatini, R., Gardi, A., Ranasinghe, K., Hilton, S., Servidia, P., and Spiller, D., “Artificial Intelligence for Trusted Autonomous Satellite Operations,” Progress in Aerospace Sciences, Vol. 144, 2024, Article 100960. https://doi.org/10.1016/j.paerosci.2023.100960</w:t>
      </w:r>
    </w:p>
    <w:p>
      <w:pPr>
        <w:pStyle w:val="Normal"/>
        <w:spacing w:lineRule="auto" w:line="480" w:before="0" w:after="0"/>
        <w:rPr/>
      </w:pPr>
      <w:r>
        <w:rPr>
          <w:color w:val="000000"/>
          <w:sz w:val="20"/>
        </w:rPr>
        <w:t>[5] Geletko, D. M., Grubb, M. D., Lucas, J. P., Morris, J. R., Spolaor, M., Suder, M. D., Yokum, S. C., and Zemerick, S. A., “NASA Operational Simulator for Small Satellites (NOS3): The STF-1 CubeSat Case Study,” Journal of Small Satellites, Vol. 7, No. 3, 2018, pp. 789–800. https://jossonline.com/joss-vol-07-no-03-dec-2018/</w:t>
      </w:r>
    </w:p>
    <w:p>
      <w:pPr>
        <w:pStyle w:val="Normal"/>
        <w:spacing w:lineRule="auto" w:line="480" w:before="0" w:after="0"/>
        <w:rPr/>
      </w:pPr>
      <w:r>
        <w:rPr>
          <w:color w:val="000000"/>
          <w:sz w:val="20"/>
        </w:rPr>
        <w:t>[6] Idan, R., Peled, R., Ben Siman Tov, A., Markus, E., Zadov, B., Chodeda, O., Fadida, Y., Holschke, O., Plachy, J., Shabtai, A., and Elovici, Y., “AegisSat: A Satellite Cybersecurity Testbed,” Proceedings of the 3rd Workshop on the Security of Space and Satellite Systems, Internet Society, San Diego, CA, 24 Feb. 2025, pp. 1–10. https://doi.org/10.14722/spacesec.2025.23069</w:t>
      </w:r>
    </w:p>
    <w:p>
      <w:pPr>
        <w:pStyle w:val="Normal"/>
        <w:spacing w:lineRule="auto" w:line="480" w:before="0" w:after="0"/>
        <w:rPr/>
      </w:pPr>
      <w:r>
        <w:rPr>
          <w:color w:val="000000"/>
          <w:sz w:val="20"/>
        </w:rPr>
        <w:t>[7] Chan, A., Seo, S., and James, A., “Defending the Cosmos: Honeypot-Based Adversary Detection and Emulation System (HADES),” Proceedings of the 25th European Conference on Cyber Warfare and Security, Vol. 25, No. 1, Academic Conferences and Publishing International Limited, Nottingham, United Kingdom, June 2026, pp. 166–175. https://doi.org/10.34190/eccws.25.1.4647</w:t>
      </w:r>
    </w:p>
    <w:p>
      <w:pPr>
        <w:pStyle w:val="Normal"/>
        <w:spacing w:lineRule="auto" w:line="480" w:before="0" w:after="0"/>
        <w:rPr/>
      </w:pPr>
      <w:r>
        <w:rPr>
          <w:color w:val="000000"/>
          <w:sz w:val="20"/>
        </w:rPr>
        <w:t>[8] Fayyaz, Y., Yang, L., and El-Khatib, K., “CubeSat Cybersecurity Dataset for Intrusion Detection (CuCD-ID): Labelled NOS3/cFS Telemetry (Raw + Augmented) with COSMOS Reproduction Scripts,” Mendeley Data, Version 3, 2026. https://doi.org/10.17632/7n2d42pm3n.3</w:t>
      </w:r>
    </w:p>
    <w:p>
      <w:pPr>
        <w:pStyle w:val="Normal"/>
        <w:spacing w:lineRule="auto" w:line="480" w:before="0" w:after="0"/>
        <w:rPr/>
      </w:pPr>
      <w:r>
        <w:rPr>
          <w:color w:val="000000"/>
          <w:sz w:val="20"/>
        </w:rPr>
        <w:t>[9] Driouch, O., Bah, S., and Guennoun, Z., “CANSat-IDS: An Adaptive Distributed Intrusion Detection System for Satellites, Based on Combined Classification of CAN Traffic,” Computers &amp; Security, Vol. 146, 2024, Article 104033. https://doi.org/10.1016/j.cose.2024.104033</w:t>
      </w:r>
    </w:p>
    <w:p>
      <w:pPr>
        <w:pStyle w:val="Normal"/>
        <w:spacing w:lineRule="auto" w:line="480" w:before="0" w:after="0"/>
        <w:rPr/>
      </w:pPr>
      <w:r>
        <w:rPr>
          <w:color w:val="000000"/>
          <w:sz w:val="20"/>
        </w:rPr>
        <w:t>[10] Casaril, F., and Galletta, L., “Securing SatCom User Segment: A Study on Cybersecurity Challenges in View of IRIS2,” Computers &amp; Security, Vol. 140, 2024, Article 103799. https://doi.org/10.1016/j.cose.2024.103799</w:t>
      </w:r>
    </w:p>
    <w:p>
      <w:pPr>
        <w:pStyle w:val="Normal"/>
        <w:spacing w:lineRule="auto" w:line="480" w:before="0" w:after="0"/>
        <w:rPr/>
      </w:pPr>
      <w:r>
        <w:rPr>
          <w:color w:val="000000"/>
          <w:sz w:val="20"/>
        </w:rPr>
        <w:t>[11] Casaril, F., and Galletta, L., “Assessing the Attack Surface of Space Organizations: A Data-Driven Analysis,” Computers &amp; Security, Vol. 164, 2026, Article 104848. https://doi.org/10.1016/j.cose.2026.104848</w:t>
      </w:r>
    </w:p>
    <w:p>
      <w:pPr>
        <w:pStyle w:val="Normal"/>
        <w:spacing w:lineRule="auto" w:line="480" w:before="0" w:after="0"/>
        <w:rPr/>
      </w:pPr>
      <w:r>
        <w:rPr>
          <w:color w:val="000000"/>
          <w:sz w:val="20"/>
        </w:rPr>
        <w:t>[12] Nelson, A., Rekhi, S., Souppaya, M., and Scarfone, K., “Incident Response Recommendations and Considerations for Cybersecurity Risk Management: A CSF 2.0 Community Profile,” National Institute of Standards and Technology, Special Publication 800-61, Rev. 3, Gaithersburg, MD, Apr. 2025. https://doi.org/10.6028/NIST.SP.800-61r3</w:t>
      </w:r>
    </w:p>
    <w:p>
      <w:pPr>
        <w:pStyle w:val="Normal"/>
        <w:spacing w:lineRule="auto" w:line="480" w:before="0" w:after="0"/>
        <w:rPr/>
      </w:pPr>
      <w:r>
        <w:rPr>
          <w:color w:val="000000"/>
          <w:sz w:val="20"/>
        </w:rPr>
        <w:t>[13] The Aerospace Corporation, “SPARTA: Space Attack Research and Tactic Analysis Cybersecurity Framework,” The Aerospace Corporation Fact Sheet, El Segundo, CA, 2025, accessed 4 Sept. 2026. https://aerospace.org/sites/default/files/2025-11/Space%20Attack%20Research%20%26%20Tactic%20Analysis%20%28SPARTA%29.pdf</w:t>
      </w:r>
    </w:p>
    <w:p>
      <w:pPr>
        <w:pStyle w:val="Normal"/>
        <w:spacing w:lineRule="auto" w:line="480" w:before="0" w:after="0"/>
        <w:rPr/>
      </w:pPr>
      <w:r>
        <w:rPr>
          <w:color w:val="000000"/>
          <w:sz w:val="20"/>
        </w:rPr>
        <w:t>[14] Lu, P., Zhang, L., Liu, M., Sridhar, K., Sokolsky, O., Kong, F., and Lee, I., “Recovery from Adversarial Attacks in Cyber-Physical Systems: Shallow, Deep, and Exploratory Works,” ACM Computing Surveys, Vol. 56, No. 8, 2024, Article 211, pp. 1–31. https://doi.org/10.1145/3653974</w:t>
      </w:r>
    </w:p>
    <w:p>
      <w:pPr>
        <w:pStyle w:val="Normal"/>
        <w:spacing w:lineRule="auto" w:line="480" w:before="0" w:after="0"/>
        <w:rPr/>
      </w:pPr>
      <w:r>
        <w:rPr>
          <w:color w:val="000000"/>
          <w:sz w:val="20"/>
        </w:rPr>
        <w:t>[15] De Canio, G., Kotowski, K., and Haskamp, C., “ESA Anomaly Dataset,” European Space Agency, Version 1.0, 2024. https://doi.org/10.5281/zenodo.12528696</w:t>
      </w:r>
    </w:p>
    <w:p>
      <w:pPr>
        <w:pStyle w:val="Normal"/>
        <w:spacing w:lineRule="auto" w:line="480" w:before="0" w:after="0"/>
        <w:rPr/>
      </w:pPr>
      <w:r>
        <w:rPr>
          <w:color w:val="000000"/>
          <w:sz w:val="20"/>
        </w:rPr>
        <w:t>[16] Ruszczak, B., “OPSSAT-AD: Anomaly Detection Dataset for Satellite Telemetry,” Ruszczak, Version v2, 2024. https://doi.org/10.5281/zenodo.15108715</w:t>
      </w:r>
    </w:p>
    <w:p>
      <w:pPr>
        <w:pStyle w:val="Normal"/>
        <w:spacing w:lineRule="auto" w:line="480" w:before="0" w:after="0"/>
        <w:rPr/>
      </w:pPr>
      <w:r>
        <w:rPr>
          <w:color w:val="000000"/>
          <w:sz w:val="20"/>
        </w:rPr>
        <w:t>[17] d'Ambrosio, N., Capodagli, G., Perrone, G., and Romano, S. P., “SCASS: Breaking into SCADA Systems Security,” Computers &amp; Security, Vol. 151, 2025, Article 104315. https://doi.org/10.1016/j.cose.2025.104315</w:t>
      </w:r>
    </w:p>
    <w:p>
      <w:pPr>
        <w:pStyle w:val="Normal"/>
        <w:spacing w:lineRule="auto" w:line="480" w:before="0" w:after="0"/>
        <w:rPr/>
      </w:pPr>
      <w:r>
        <w:rPr>
          <w:color w:val="000000"/>
          <w:sz w:val="20"/>
        </w:rPr>
        <w:t>[18] Le, V., Tran, T., and Le, T., “TinyML-Driven Cybersecurity for Autonomous Spacecraft: Latency-Accuracy Analysis for SPARTA RF and Cyber Threat Detection,” arXiv:2606.05779, 2026. https://doi.org/10.48550/arXiv.2606.05779</w:t>
      </w:r>
    </w:p>
    <w:p>
      <w:pPr>
        <w:pStyle w:val="Normal"/>
        <w:spacing w:lineRule="auto" w:line="480" w:before="0" w:after="0"/>
        <w:rPr/>
      </w:pPr>
      <w:r>
        <w:rPr>
          <w:color w:val="000000"/>
          <w:sz w:val="20"/>
        </w:rPr>
        <w:t>[19] Mattar, C., Bou Abdo, J., Makhoul, A., Piranda, B., and Demerjian, J., “What Is Cybersecurity in Space?,” 2025 IEEE/ACS 22nd International Conference on Computer Systems and Applications, IEEE, Doha, Qatar, 19–22 Oct. 2025, pp. 1–6. https://doi.org/10.1109/AICCSA66935.2025.11315201</w:t>
      </w:r>
    </w:p>
    <w:p>
      <w:pPr>
        <w:pStyle w:val="Normal"/>
        <w:spacing w:lineRule="auto" w:line="480" w:before="0" w:after="0"/>
        <w:rPr/>
      </w:pPr>
      <w:r>
        <w:rPr>
          <w:color w:val="000000"/>
          <w:sz w:val="20"/>
        </w:rPr>
        <w:t>[20] Liu, S., and Sun, K., “Temporal Risk on Satellites,” Proceedings of the 4th Workshop on the Security of Space and Satellite Systems, Internet Society, San Diego, CA, 23 Feb. 2026, pp. 1–6. https://doi.org/10.14722/spacesec.2026.23050</w:t>
      </w:r>
    </w:p>
    <w:sectPr>
      <w:footerReference w:type="even" r:id="rId2"/>
      <w:footerReference w:type="default" r:id="rId3"/>
      <w:footerReference w:type="first" r:id="rId4"/>
      <w:footnotePr>
        <w:numFmt w:val="decimal"/>
      </w:footnotePr>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25</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t>*</w:t>
      </w:r>
      <w:r>
        <w:rPr/>
        <w:tab/>
        <w:t>Independent Researcher; corresponding author: asingh65430@ucumberlands.edu.</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0"/>
      <w:jc w:val="start"/>
    </w:pPr>
    <w:rPr>
      <w:rFonts w:ascii="Times New Roman" w:hAnsi="Times New Roman" w:eastAsia="ＭＳ 明朝" w:cs=""/>
      <w:color w:val="000000"/>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480" w:before="160" w:after="0"/>
      <w:outlineLvl w:val="0"/>
    </w:pPr>
    <w:rPr>
      <w:rFonts w:ascii="Calibri" w:hAnsi="Calibri" w:eastAsia="ＭＳ ゴシック" w:cs="" w:asciiTheme="majorHAnsi" w:cstheme="majorBidi" w:eastAsiaTheme="majorEastAsia" w:hAnsiTheme="majorHAnsi"/>
      <w:b/>
      <w:bCs/>
      <w:color w:val="000000"/>
      <w:sz w:val="22"/>
      <w:szCs w:val="28"/>
    </w:rPr>
  </w:style>
  <w:style w:type="paragraph" w:styleId="Heading2">
    <w:name w:val="heading 2"/>
    <w:basedOn w:val="Normal"/>
    <w:next w:val="Normal"/>
    <w:link w:val="Heading2Char"/>
    <w:uiPriority w:val="9"/>
    <w:unhideWhenUsed/>
    <w:qFormat/>
    <w:rsid w:val="00fc693f"/>
    <w:pPr>
      <w:keepNext w:val="true"/>
      <w:keepLines/>
      <w:spacing w:lineRule="auto" w:line="480" w:before="160" w:after="0"/>
      <w:outlineLvl w:val="1"/>
    </w:pPr>
    <w:rPr>
      <w:rFonts w:ascii="Calibri" w:hAnsi="Calibri" w:eastAsia="ＭＳ ゴシック" w:cs="" w:asciiTheme="majorHAnsi" w:cstheme="majorBidi" w:eastAsiaTheme="majorEastAsia" w:hAnsiTheme="majorHAnsi"/>
      <w:b/>
      <w:bCs/>
      <w:color w:val="000000"/>
      <w:sz w:val="20"/>
      <w:szCs w:val="26"/>
    </w:rPr>
  </w:style>
  <w:style w:type="paragraph" w:styleId="Heading3">
    <w:name w:val="heading 3"/>
    <w:basedOn w:val="Normal"/>
    <w:next w:val="Normal"/>
    <w:link w:val="Heading3Char"/>
    <w:uiPriority w:val="9"/>
    <w:unhideWhenUsed/>
    <w:qFormat/>
    <w:rsid w:val="00fc693f"/>
    <w:pPr>
      <w:keepNext w:val="true"/>
      <w:keepLines/>
      <w:spacing w:lineRule="auto" w:line="480" w:before="160" w:after="0"/>
      <w:outlineLvl w:val="2"/>
    </w:pPr>
    <w:rPr>
      <w:rFonts w:ascii="Calibri" w:hAnsi="Calibri" w:eastAsia="ＭＳ ゴシック" w:cs="" w:asciiTheme="majorHAnsi" w:cstheme="majorBidi" w:eastAsiaTheme="majorEastAsia" w:hAnsiTheme="majorHAnsi"/>
      <w:b/>
      <w:bCs/>
      <w:color w:val="000000"/>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ootnoteText">
    <w:name w:val="footnote text"/>
    <w:basedOn w:val="Normal"/>
    <w:pPr>
      <w:suppressLineNumbers/>
      <w:ind w:hanging="340" w:start="34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Aman Kumar Singh</dc:creator>
  <dc:description>generated by python-docx</dc:description>
  <cp:keywords>satellite cybersecurity mission-aware cybersecurity cyber resilience trusted recovery</cp:keywords>
  <dc:language>en-US</dc:language>
  <cp:lastModifiedBy/>
  <dcterms:modified xsi:type="dcterms:W3CDTF">2026-09-05T04:13:03Z</dcterms:modified>
  <cp:revision>2</cp:revision>
  <dc:subject>Journal of Aerospace Information Systems Full Paper submission manuscript</dc:subject>
  <dc:title>Satellite Cyber Response and Trusted Recovery Under Contact and Adversarial Evidence Constraints</dc:title>
</cp:coreProperties>
</file>

<file path=docProps/custom.xml><?xml version="1.0" encoding="utf-8"?>
<Properties xmlns="http://schemas.openxmlformats.org/officeDocument/2006/custom-properties" xmlns:vt="http://schemas.openxmlformats.org/officeDocument/2006/docPropsVTypes"/>
</file>