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September 5, 2026</w:t>
      </w:r>
    </w:p>
    <w:p>
      <w:r>
        <w:t>Editor-in-Chief</w:t>
        <w:br/>
        <w:t>Acta Astronautica</w:t>
        <w:br/>
        <w:t>Elsevier</w:t>
      </w:r>
    </w:p>
    <w:p>
      <w:r>
        <w:t>Dear Editor,</w:t>
      </w:r>
    </w:p>
    <w:p>
      <w:pPr>
        <w:keepLines w:val="0"/>
      </w:pPr>
      <w:r>
        <w:t>Please consider the manuscript "Contact-Aware Cryptographic Agility for Trusted Post-Compromise Recovery in Intermittently Connected Space Systems" for publication as a Research Paper in Acta Astronautica.</w:t>
      </w:r>
    </w:p>
    <w:p>
      <w:pPr>
        <w:keepLines w:val="0"/>
      </w:pPr>
      <w:r>
        <w:t>The manuscript examines post-compromise cryptographic transition as a deterministic finite space-systems problem under intermittent logical contact. The frozen 3,456-position factorial study jointly varies standardized ML-KEM/ML-DSA object burden, transition policy, logical contact regime, bounded disruption, compromise phase, and recovery deadline. Its prespecified primary policy comparison is negative: contact-aware staged recovery and ordinary staged recovery have exactly the same trusted-recovery success proportion, both marginally and in every prespecified stratum. The paper retains that null result and instead shows how feasibility changes with standardized cryptographic-object burden, contact timing, and deadline, while transition policy redistributes modeled state and availability costs.</w:t>
      </w:r>
    </w:p>
    <w:p>
      <w:pPr>
        <w:keepLines w:val="0"/>
      </w:pPr>
      <w:r>
        <w:t>The contribution is intentionally bounded. The study does not claim onboard cryptographic performance, RF performance, orbital realism, CCSDS approval of an ML-KEM/ML-DSA profile, flight readiness, or operational validation. Logical slots have no physical time conversion. The separately written reference implementation is a same-repository reproducibility check rather than independent external replication.</w:t>
      </w:r>
    </w:p>
    <w:p>
      <w:pPr>
        <w:keepLines w:val="0"/>
      </w:pPr>
      <w:r>
        <w:t>This manuscript reports a deterministic software/modeling study with no human participants, animals, live spacecraft operations, unauthorized access, or RF experimentation. The research received no specific grant from funding agencies in the public, commercial, or not-for-profit sectors. The author declares no competing interests.</w:t>
      </w:r>
    </w:p>
    <w:p>
      <w:pPr>
        <w:keepLines w:val="0"/>
      </w:pPr>
      <w:r>
        <w:t>Generative-AI language assistance was used during manuscript development and publication-package review, with author review and responsibility retained. No new Study 8 scientific execution or statistical reanalysis was performed during publication preparation.</w:t>
      </w:r>
    </w:p>
    <w:p>
      <w:pPr>
        <w:keepLines w:val="0"/>
      </w:pPr>
      <w:r>
        <w:t>Thank you for your consideration.</w:t>
      </w:r>
    </w:p>
    <w:p>
      <w:r>
        <w:t>Sincerely,</w:t>
        <w:br/>
        <w:t>Aman Kumar Singh, MS, DSc</w:t>
        <w:br/>
        <w:t>Independent Researcher</w:t>
        <w:br/>
        <w:t>The Woodlands, Texas, United States</w:t>
        <w:br/>
        <w:t>asingh65430@ucumberlands.edu</w:t>
        <w:br/>
        <w:t>https://orcid.org/0009-0008-9752-3743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