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Arial" w:hAnsi="Arial"/>
          <w:b/>
          <w:sz w:val="32"/>
        </w:rPr>
        <w:t>Highlights</w:t>
      </w:r>
    </w:p>
    <w:p>
      <w:pPr>
        <w:pStyle w:val="ListBullet"/>
      </w:pPr>
      <w:r>
        <w:t>All four recovery policies achieved the same 73.4954% modeled success.</w:t>
      </w:r>
    </w:p>
    <w:p>
      <w:pPr>
        <w:pStyle w:val="ListBullet"/>
      </w:pPr>
      <w:r>
        <w:t>Contact-aware staging did not improve modeled trusted-recovery success.</w:t>
      </w:r>
    </w:p>
    <w:p>
      <w:pPr>
        <w:pStyle w:val="ListBullet"/>
      </w:pPr>
      <w:r>
        <w:t>Standardized cryptographic-object burden constrained modeled recovery feasibility.</w:t>
      </w:r>
    </w:p>
    <w:p>
      <w:pPr>
        <w:pStyle w:val="ListBullet"/>
      </w:pPr>
      <w:r>
        <w:t>Equal full-cycle capacity yielded different outcomes under different timing.</w:t>
      </w:r>
    </w:p>
    <w:p>
      <w:pPr>
        <w:pStyle w:val="ListBullet"/>
      </w:pPr>
      <w:r>
        <w:t>Policy choice redistributed modeled state exposure and availability costs.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 - Contact-Aware Cryptographic Agility for Trusted Post-Compromise Recovery in Intermittently Connected Space Systems</dc:title>
  <dc:subject>Acta Astronautica submission highlights</dc:subject>
  <dc:creator>Aman Kumar Singh</dc:creator>
  <cp:keywords>cryptographic agility; post-quantum cryptography; satellite cybersecurity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