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2"/>
        </w:rPr>
        <w:t>Contact-Aware Cryptographic Agility for Trusted Post-Compromise Recovery in Intermittently Connected Space Systems</w:t>
      </w:r>
    </w:p>
    <w:p>
      <w:pPr>
        <w:spacing w:after="20"/>
        <w:jc w:val="center"/>
      </w:pPr>
      <w:r>
        <w:t>Aman Kumar Singh</w:t>
      </w:r>
    </w:p>
    <w:p>
      <w:pPr>
        <w:spacing w:after="20"/>
        <w:jc w:val="center"/>
      </w:pPr>
      <w:r>
        <w:t>Independent Researcher, The Woodlands, Texas, United States</w:t>
      </w:r>
    </w:p>
    <w:p>
      <w:pPr>
        <w:spacing w:after="20"/>
        <w:jc w:val="center"/>
      </w:pPr>
      <w:r>
        <w:t>https://orcid.org/0009-0008-9752-3743</w:t>
      </w:r>
    </w:p>
    <w:p>
      <w:pPr>
        <w:spacing w:after="20"/>
        <w:jc w:val="center"/>
      </w:pPr>
      <w:r>
        <w:t>Corresponding author: asingh65430@ucumberlands.edu</w:t>
      </w:r>
    </w:p>
    <w:p/>
    <w:p>
      <w:r>
        <w:rPr>
          <w:b/>
          <w:sz w:val="22"/>
        </w:rPr>
        <w:t>Abstract</w:t>
      </w:r>
    </w:p>
    <w:p>
      <w:pPr>
        <w:keepLines w:val="0"/>
      </w:pPr>
      <w:r>
        <w:t>Long-lived space systems may need to replace compromised cryptographic state without continuous connectivity. This study evaluates trusted post-compromise cryptographic transition as a deterministic finite systems problem under intermittent logical contact. A frozen 3 x 4 x 4 x 4 x 6 x 3 factorial model crosses three exact ML-KEM/ML-DSA profiles, four recovery policies, four equal-total-capacity contact regimes, four bounded non-cryptanalytic disruptions, six compromise phase offsets, and three logical deadlines, yielding 3,456 modeled positions. The primary endpoint is trusted recovery before deadline. Because the analysis covers the complete frozen population rather than a sample, results are reported as exact counts and proportions without sampling p-values or confidence intervals. A separately implemented reference model in the same repository reproduced all 3,456 rows exactly. All four policies achieved 635/864 trusted recoveries (73.4954%), and the prespecified contact-aware staged-minus-staged risk difference was 0.000000 percentage points overall and in every prespecified stratum. Success differed substantially by standardized cryptographic-object burden: 93.7500% for ML-KEM-512/ML-DSA-44, 64.9306% for ML-KEM-768/ML-DSA-65, and 61.8056% for ML-KEM-1024/ML-DSA-87. Success was non-increasing with object burden across all 1,152 matched non-profile positions. Contact timing and logical deadline also changed feasibility despite equal full-cycle capacity. Policy choice did not change primary success but redistributed predecessor exposure, control unavailability, dual-epoch overlap, modeled transfer burden, attempts, and failure classification. Within this model, feasibility varied with object burden, contact structure, and deadline, while policy primarily changed security-state and availability costs.</w:t>
      </w:r>
    </w:p>
    <w:p>
      <w:r>
        <w:rPr>
          <w:b/>
        </w:rPr>
        <w:t xml:space="preserve">Keywords: </w:t>
      </w:r>
      <w:r>
        <w:t>cryptographic agility; post-quantum cryptography; ML-KEM; ML-DSA; satellite cybersecurity; intermittent connectivity</w:t>
      </w:r>
    </w:p>
    <w:p>
      <w:pPr>
        <w:pStyle w:val="Heading1"/>
      </w:pPr>
      <w:r>
        <w:t>1. Introduction</w:t>
      </w:r>
    </w:p>
    <w:p>
      <w:pPr>
        <w:keepLines w:val="0"/>
      </w:pPr>
      <w:r>
        <w:t>Space systems combine long service lives, constrained maintenance opportunities, intermittent communications, and increasingly explicit cybersecurity requirements. These characteristics make cryptographic transition a systems problem rather than a simple algorithm-replacement task. NIST defines crypto agility as the capability to replace or adapt cryptographic algorithms across protocols, applications, software, hardware, firmware, and infrastructure while preserving security and ongoing operations [1]. In parallel, NIST FIPS 203 and FIPS 204 standardize ML-KEM and ML-DSA, respectively [2,3], while SP 800-227 emphasizes that secure KEM use depends on surrounding protocol and system conditions rather than on algorithm selection alone [4].</w:t>
      </w:r>
    </w:p>
    <w:p>
      <w:pPr>
        <w:keepLines w:val="0"/>
      </w:pPr>
      <w:r>
        <w:t>The space context makes these transition questions particularly consequential. Recent institutional and academic work already addresses post-quantum cryptography (PQC) for non-terrestrial networks, hybrid migration, protocol adaptation, space-system crypto agility, secure software update, and hardware/software implementation [5-9]. The 2026 IEEE Standard for Space System Cybersecurity Design further reflects the growing emphasis on cybersecurity controls spanning the ground, space-vehicle, link, and integration layers [10]. This body of work means that "PQC for satellites," "crypto agility for space," "hybrid migration," or "PQC bandwidth overhead" are not defensible novelty claims by themselves.</w:t>
      </w:r>
    </w:p>
    <w:p>
      <w:pPr>
        <w:keepLines w:val="0"/>
      </w:pPr>
      <w:r>
        <w:t>A narrower systems question remains important after compromise: if predecessor credentials or cryptographic state can no longer be trusted, can a system establish and confirm a successor epoch within the contact opportunities that remain before a recovery deadline? The answer depends not only on which algorithms are selected, but also on how much cryptographic material must move, when contact capacity becomes available, which transition state is accepted at each point, and how bounded disruption interacts with those constraints. Larger post-quantum objects can matter even if cryptographic computation is assumed instantaneous, because finite contact budgets can determine whether required transition material reaches the modeled protocol state machine in time. Eichen et al. likewise identify larger PQ authentication artifacts and intermittent or bandwidth-constrained non-terrestrial connectivity as practical key-management concerns [11].</w:t>
      </w:r>
    </w:p>
    <w:p>
      <w:pPr>
        <w:keepLines w:val="0"/>
      </w:pPr>
      <w:r>
        <w:t>This study isolates that systems interaction using a deterministic finite logical-contact model. It asks: How do cryptographic-transition strategies change the ability to restore trusted control within finite intermittent-contact budgets after credential or cryptographic-state compromise?</w:t>
      </w:r>
    </w:p>
    <w:p>
      <w:pPr>
        <w:keepLines w:val="0"/>
      </w:pPr>
      <w:r>
        <w:t>The contribution is deliberately narrower than prior PQC-for-space work. The study jointly evaluates (i) exact NIST-standardized cryptographic-object byte burdens, (ii) intermittent contact opportunities with controlled total-cycle capacity but different temporal distributions, (iii) explicit logical recovery deadlines, (iv) four transition policies with different predecessor/successor acceptance semantics, (v) epoch-safety invariants, and (vi) bounded non-cryptanalytic disruption. It then separates two questions that are often conflated: whether a transition policy changes recovery feasibility, and whether it changes the security-state and availability costs incurred while pursuing the same feasibility objective.</w:t>
      </w:r>
    </w:p>
    <w:p>
      <w:pPr>
        <w:keepLines w:val="0"/>
      </w:pPr>
      <w:r>
        <w:t>The study produces a negative primary policy result and preserves it as such. The contact-aware policy does not improve trusted-recovery success relative to ordinary staged cutover in the frozen population. The strongest feasibility differences instead align with cryptographic-object burden, contact timing, and deadline. Policy choice remains relevant because it redistributes logical control unavailability, predecessor exposure, dual-epoch overlap, modeled transfer use, transition attempts, and terminal failure classification.</w:t>
      </w:r>
    </w:p>
    <w:p>
      <w:pPr>
        <w:pStyle w:val="Heading1"/>
      </w:pPr>
      <w:r>
        <w:t>2. Related Work and Standards Context</w:t>
      </w:r>
    </w:p>
    <w:p>
      <w:pPr>
        <w:keepLines w:val="0"/>
      </w:pPr>
      <w:r>
        <w:t>Kim's 2026 systematic survey synthesizes space-oriented PQC research across algorithms, hardware implementation, software integration, protocol adaptation, hybrid migration, crypto agility, and CCSDS-related gaps [9]. Ghosh and Nath evaluate lattice-based PQC in satellite-communication settings and discuss implementation and migration considerations [12]. GSMA PQ.07 identifies high latency, constrained processing, long satellite lifecycles, interoperability, PKI, and phased or hybrid migration as relevant PQC concerns for non-terrestrial networks [5]. Eichen et al. focus specifically on bandwidth, memory, computation, and energy pressure created by post-quantum authentication artifacts in constrained or non-terrestrial networks [11]. These works establish that PQC deployment pressure and cryptographic-object growth in satellite or NTN environments are active research topics. The present study does not claim that larger post-quantum objects are a newly discovered concern. Instead, it asks how standardized object sizes interact with a frozen post-compromise state transition and finite logical-contact schedule.</w:t>
      </w:r>
    </w:p>
    <w:p>
      <w:pPr>
        <w:keepLines w:val="0"/>
      </w:pPr>
      <w:r>
        <w:t>NIST's crypto-agility guidance treats cryptographic replacement as a cross-layer operational capability involving mechanisms, dependencies, and transition planning [1]. Space-focused work by Mähn, Müller, and Zielinski develops crypto-agility terminology and addresses remote update, failure, attack, and fallback concerns [6]. ESA work has also examined quantum-safe satellite data-link architecture and high-assurance PQC for software-defined payloads [7,8], while the ACES activity demonstrates continuing institutional interest in advanced and post-quantum security-by-design for satellite communications [13].</w:t>
      </w:r>
    </w:p>
    <w:p>
      <w:pPr>
        <w:keepLines w:val="0"/>
      </w:pPr>
      <w:r>
        <w:t>The CCSDS data-link security architecture is relevant because its algorithm-independent orientation supports asking how cryptographic algorithms may change without assuming that a specific PQC algorithm pair is already an operational CCSDS-approved suite [14]. The present study therefore uses CCSDS only as architectural context. It does not claim ML-KEM or ML-DSA conformance to an operational CCSDS PQC profile.</w:t>
      </w:r>
    </w:p>
    <w:p>
      <w:pPr>
        <w:keepLines w:val="0"/>
      </w:pPr>
      <w:r>
        <w:t>Satellite cybersecurity literature has long emphasized the dependence of space missions on trustworthy communications and software-controlled infrastructure [15,16]. Security mechanisms for federated satellite systems have also been evaluated experimentally at the protocol and platform level [17]. The present work complements, rather than replaces, such physical or implementation-oriented evidence. It deliberately removes processor, RF, orbital, energy, and framing effects to isolate a finite systems question: whether standardized transition-object bytes can traverse a particular logical contact schedule before a deadline while the protocol preserves frozen epoch-state rules.</w:t>
      </w:r>
    </w:p>
    <w:p>
      <w:pPr>
        <w:pStyle w:val="Heading1"/>
      </w:pPr>
      <w:r>
        <w:t>3. Methods</w:t>
      </w:r>
    </w:p>
    <w:p>
      <w:pPr>
        <w:keepLines w:val="0"/>
      </w:pPr>
      <w:r>
        <w:t>Experiment S8-PQC-ICR-001 is a deterministic finite modeled-contact crypto-agility recovery study. The frozen factorial population crosses 3 cryptographic profiles, 4 recovery policies, 4 contact regimes, 4 disruption schedules, 6 compromise phase offsets, and 3 logical recovery deadlines. The complete Cartesian population therefore contains 3 x 4 x 4 x 4 x 6 x 3 = 3,456 observations. Every factor position occurs exactly once. A separately implemented reference model in the same repository recomputed the canonical observations; all 3,456 rows matched exactly, with zero mismatches. The canonical dataset SHA-256 is cfc65b6663be4e9f17a00ed102730f8642efcbbd844045acce032ff09a0bcabf.</w:t>
      </w:r>
    </w:p>
    <w:p>
      <w:pPr>
        <w:keepLines w:val="0"/>
      </w:pPr>
      <w:r>
        <w:t>Because the object of inference is the entire frozen deterministic population rather than a random sample from a superpopulation, the analysis reports exact finite-population counts, proportions, differences, medians, and arithmetic means. Sampling p-values, sampling confidence intervals, bootstrap inference, and permutation inference were prespecified as unsupported.</w:t>
      </w:r>
    </w:p>
    <w:p>
      <w:pPr>
        <w:keepLines w:val="0"/>
      </w:pPr>
      <w:r>
        <w:t>3.1 Cryptographic-object profiles. FIPS 203 defines ML-KEM public-key and ciphertext sizes, and FIPS 204 defines ML-DSA public-key and signature sizes [2,3]. Three exact algorithm-pair identifiers were frozen: PROFILE_512_44 (ML-KEM-512 + ML-DSA-44), PROFILE_768_65 (ML-KEM-768 + ML-DSA-65), and PROFILE_1024_87 (ML-KEM-1024 + ML-DSA-87). The identifiers name exact algorithm pairs only; they are not asserted to be matched NIST security-category profiles. Each transition uses seven modeled cryptographic objects in fixed priority order: a recovery-authority assertion signature, successor KEM encapsulation key, successor signature-verification key, KEM ciphertext, transition-proof signature, new-epoch commit signature, and post-commit confirmation signature. Private keys are never transmitted. The resulting base transition-object budgets are 12,560 bytes, 17,460 bytes, and 24,236 bytes, respectively. These totals include standardized cryptographic-object bytes only and exclude certificates, transport headers, CCSDS framing, coding overhead, implementation metadata, and private keys.</w:t>
      </w:r>
    </w:p>
    <w:p>
      <w:pPr>
        <w:keepLines w:val="0"/>
      </w:pPr>
      <w:r>
        <w:t>3.2 Recovery policies. P0 hard cutover revokes predecessor control acceptance at recovery start. P1 staged cutover retains predecessor acceptance during staging and atomically revokes the predecessor and accepts the successor at commit. P2 hybrid overlap begins successor acceptance after the transition proof while retaining predecessor acceptance until commit, producing a directly observed dual-epoch overlap endpoint. P3 contact-aware staged uses P1's staged semantics plus a deterministic pre-commit guard. The guard may inspect only the frozen contact schedule, phase offset, deadline, selected profile object sizes, bytes already delivered, and current protocol state. It may not inspect future disruptions or outcomes. Commit is permitted only when nominal scheduled capacity strictly before the deadline is sufficient for the remaining new-epoch commit and post-commit confirmation bytes.</w:t>
      </w:r>
    </w:p>
    <w:p>
      <w:pPr>
        <w:keepLines w:val="0"/>
      </w:pPr>
      <w:r>
        <w:t>3.3 Logical contact model. Logical time is represented by integer slots 0..47. A slot is an ordering unit only and has no physical duration. Every contact is one logical slot wide and supplies a synthetic upper bound on cryptographic-object bytes transferable in that opportunity. All four regimes contain exactly 65,536 nominal bytes over the complete 48-slot cycle, controlling total-cycle capacity while changing temporal distribution: R1_FREQUENT_SMALL uses 16 contacts x 4,096 bytes; R2_PERIODIC_MEDIUM uses 8 x 8,192; R3_SPARSE_LARGE uses 4 x 16,384; and R4_CLUSTERED_MEDIUM uses 8 x 8,192 arranged in four two-contact clusters. Six deterministic compromise offsets (0..5) shift the post-compromise contact schedule. Three deadlines are used: D12, D24, and D48. Recovery is on time only if TRUST_RESTORED is reached at a slot strictly less than the selected deadline.</w:t>
      </w:r>
    </w:p>
    <w:p>
      <w:pPr>
        <w:keepLines w:val="0"/>
      </w:pPr>
      <w:r>
        <w:t>3.4 Bounded disruption model. A0_NONE has no transport disruption. A1_DROP_FIRST_LARGEST_OBJECT_FRAGMENT loses the first allocation to the earliest highest-priority object tied for largest size, consuming that contact capacity. A2_DELAY_FIRST_TRANSITION_PROOF_ONE_CONTACT withholds the proof in the first contact in which it becomes ready. A3_STALE_EPOCH_REPLAY_AT_COMMIT presents a previously valid stale commit at the first commit opportunity; the monotonic epoch check rejects it, consuming the logical opportunity without adding standardized cryptographic-object bytes. The adversary cannot forge ML-DSA signatures, recover private keys, break ML-KEM, perform quantum cryptanalysis, adapt its disruption schedule to observed outcomes, or modify the frozen contact/deadline design.</w:t>
      </w:r>
    </w:p>
    <w:p>
      <w:pPr>
        <w:keepLines w:val="0"/>
      </w:pPr>
      <w:r>
        <w:t>3.5 Endpoints and statistical plan. The primary endpoint is binary modeled trusted recovery before the selected deadline without stale or compromised epoch acceptance. The primary estimand is the exact marginal success proportion for each policy across its 864 equally weighted frozen factor positions. The prespecified primary contrast is P3 minus P1 because P3 adds contact awareness to P1's staged-cutover semantics. Prespecified stratified P3-minus-P1 contrasts were required by contact regime, cryptographic profile, disruption schedule, and deadline. Secondary summaries include recovery completion slot among successes, contacts consumed, modeled cryptographic bytes transferred, transition attempts, legacy exposure slots, control-unavailable slots, P2 dual-epoch overlap slots, rollback invocation, stale-epoch acceptance, and terminal state. The analysis plan was locked before scientific outcome values were inspected. The primary analysis and a separately implemented same-repository statistical check produced byte-identical machine-readable findings with SHA-256 26a8ac4d1039917323e75a294775dd14a2b563adb12a5d2fcdb47ce8f15c992e.</w:t>
      </w:r>
    </w:p>
    <w:p>
      <w:r>
        <w:br w:type="page"/>
      </w:r>
    </w:p>
    <w:p>
      <w:r>
        <w:rPr>
          <w:b/>
        </w:rPr>
        <w:t>Table 1. Frozen Study 8 factorial design and logical-contact structure.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vAlign w:val="center"/>
            <w:shd w:fill="E7E6E6"/>
          </w:tcPr>
          <w:p>
            <w:pPr>
              <w:spacing w:after="0"/>
            </w:pPr>
            <w:r/>
            <w:r>
              <w:rPr>
                <w:b/>
                <w:sz w:val="16"/>
              </w:rPr>
              <w:t>Dimension</w:t>
            </w:r>
          </w:p>
        </w:tc>
        <w:tc>
          <w:tcPr>
            <w:tcW w:type="dxa" w:w="5040"/>
            <w:vAlign w:val="center"/>
            <w:shd w:fill="E7E6E6"/>
          </w:tcPr>
          <w:p>
            <w:pPr>
              <w:spacing w:after="0"/>
            </w:pPr>
            <w:r/>
            <w:r>
              <w:rPr>
                <w:b/>
                <w:sz w:val="16"/>
              </w:rPr>
              <w:t>Levels / definition</w:t>
            </w:r>
          </w:p>
        </w:tc>
      </w:tr>
      <w:tr>
        <w:trPr>
          <w:cantSplit/>
        </w:trPr>
        <w:tc>
          <w:tcPr>
            <w:tcW w:type="dxa" w:w="5040"/>
            <w:vAlign w:val="center"/>
          </w:tcPr>
          <w:p>
            <w:pPr>
              <w:spacing w:after="0"/>
            </w:pPr>
            <w:r/>
            <w:r>
              <w:rPr>
                <w:b w:val="0"/>
                <w:sz w:val="16"/>
              </w:rPr>
              <w:t>Population</w:t>
            </w:r>
          </w:p>
        </w:tc>
        <w:tc>
          <w:tcPr>
            <w:tcW w:type="dxa" w:w="5040"/>
            <w:vAlign w:val="center"/>
          </w:tcPr>
          <w:p>
            <w:pPr>
              <w:spacing w:after="0"/>
            </w:pPr>
            <w:r/>
            <w:r>
              <w:rPr>
                <w:b w:val="0"/>
                <w:sz w:val="16"/>
              </w:rPr>
              <w:t>3 profiles x 4 policies x 4 regimes x 4 disruptions x 6 offsets x 3 deadlines = 3,456</w:t>
            </w:r>
          </w:p>
        </w:tc>
      </w:tr>
      <w:tr>
        <w:trPr>
          <w:cantSplit/>
        </w:trPr>
        <w:tc>
          <w:tcPr>
            <w:tcW w:type="dxa" w:w="5040"/>
            <w:vAlign w:val="center"/>
          </w:tcPr>
          <w:p>
            <w:pPr>
              <w:spacing w:after="0"/>
            </w:pPr>
            <w:r/>
            <w:r>
              <w:rPr>
                <w:b w:val="0"/>
                <w:sz w:val="16"/>
              </w:rPr>
              <w:t>Profiles</w:t>
            </w:r>
          </w:p>
        </w:tc>
        <w:tc>
          <w:tcPr>
            <w:tcW w:type="dxa" w:w="5040"/>
            <w:vAlign w:val="center"/>
          </w:tcPr>
          <w:p>
            <w:pPr>
              <w:spacing w:after="0"/>
            </w:pPr>
            <w:r/>
            <w:r>
              <w:rPr>
                <w:b w:val="0"/>
                <w:sz w:val="16"/>
              </w:rPr>
              <w:t>512/44: 12,560 bytes; 768/65: 17,460 bytes; 1024/87: 24,236 bytes</w:t>
            </w:r>
          </w:p>
        </w:tc>
      </w:tr>
      <w:tr>
        <w:trPr>
          <w:cantSplit/>
        </w:trPr>
        <w:tc>
          <w:tcPr>
            <w:tcW w:type="dxa" w:w="5040"/>
            <w:vAlign w:val="center"/>
          </w:tcPr>
          <w:p>
            <w:pPr>
              <w:spacing w:after="0"/>
            </w:pPr>
            <w:r/>
            <w:r>
              <w:rPr>
                <w:b w:val="0"/>
                <w:sz w:val="16"/>
              </w:rPr>
              <w:t>Policies</w:t>
            </w:r>
          </w:p>
        </w:tc>
        <w:tc>
          <w:tcPr>
            <w:tcW w:type="dxa" w:w="5040"/>
            <w:vAlign w:val="center"/>
          </w:tcPr>
          <w:p>
            <w:pPr>
              <w:spacing w:after="0"/>
            </w:pPr>
            <w:r/>
            <w:r>
              <w:rPr>
                <w:b w:val="0"/>
                <w:sz w:val="16"/>
              </w:rPr>
              <w:t>P0 hard cutover; P1 staged; P2 hybrid overlap; P3 contact-aware staged</w:t>
            </w:r>
          </w:p>
        </w:tc>
      </w:tr>
      <w:tr>
        <w:trPr>
          <w:cantSplit/>
        </w:trPr>
        <w:tc>
          <w:tcPr>
            <w:tcW w:type="dxa" w:w="5040"/>
            <w:vAlign w:val="center"/>
          </w:tcPr>
          <w:p>
            <w:pPr>
              <w:spacing w:after="0"/>
            </w:pPr>
            <w:r/>
            <w:r>
              <w:rPr>
                <w:b w:val="0"/>
                <w:sz w:val="16"/>
              </w:rPr>
              <w:t>Regimes</w:t>
            </w:r>
          </w:p>
        </w:tc>
        <w:tc>
          <w:tcPr>
            <w:tcW w:type="dxa" w:w="5040"/>
            <w:vAlign w:val="center"/>
          </w:tcPr>
          <w:p>
            <w:pPr>
              <w:spacing w:after="0"/>
            </w:pPr>
            <w:r/>
            <w:r>
              <w:rPr>
                <w:b w:val="0"/>
                <w:sz w:val="16"/>
              </w:rPr>
              <w:t>R1 16x4096; R2 8x8192; R3 4x16384; R4 8x8192 clustered; each 65,536 bytes/cycle</w:t>
            </w:r>
          </w:p>
        </w:tc>
      </w:tr>
      <w:tr>
        <w:trPr>
          <w:cantSplit/>
        </w:trPr>
        <w:tc>
          <w:tcPr>
            <w:tcW w:type="dxa" w:w="5040"/>
            <w:vAlign w:val="center"/>
          </w:tcPr>
          <w:p>
            <w:pPr>
              <w:spacing w:after="0"/>
            </w:pPr>
            <w:r/>
            <w:r>
              <w:rPr>
                <w:b w:val="0"/>
                <w:sz w:val="16"/>
              </w:rPr>
              <w:t>Disruptions</w:t>
            </w:r>
          </w:p>
        </w:tc>
        <w:tc>
          <w:tcPr>
            <w:tcW w:type="dxa" w:w="5040"/>
            <w:vAlign w:val="center"/>
          </w:tcPr>
          <w:p>
            <w:pPr>
              <w:spacing w:after="0"/>
            </w:pPr>
            <w:r/>
            <w:r>
              <w:rPr>
                <w:b w:val="0"/>
                <w:sz w:val="16"/>
              </w:rPr>
              <w:t>A0 none; A1 fragment drop; A2 proof delay; A3 stale-epoch replay</w:t>
            </w:r>
          </w:p>
        </w:tc>
      </w:tr>
      <w:tr>
        <w:trPr>
          <w:cantSplit/>
        </w:trPr>
        <w:tc>
          <w:tcPr>
            <w:tcW w:type="dxa" w:w="5040"/>
            <w:vAlign w:val="center"/>
          </w:tcPr>
          <w:p>
            <w:pPr>
              <w:spacing w:after="0"/>
            </w:pPr>
            <w:r/>
            <w:r>
              <w:rPr>
                <w:b w:val="0"/>
                <w:sz w:val="16"/>
              </w:rPr>
              <w:t>Offsets</w:t>
            </w:r>
          </w:p>
        </w:tc>
        <w:tc>
          <w:tcPr>
            <w:tcW w:type="dxa" w:w="5040"/>
            <w:vAlign w:val="center"/>
          </w:tcPr>
          <w:p>
            <w:pPr>
              <w:spacing w:after="0"/>
            </w:pPr>
            <w:r/>
            <w:r>
              <w:rPr>
                <w:b w:val="0"/>
                <w:sz w:val="16"/>
              </w:rPr>
              <w:t>0..5 deterministic compromise placements</w:t>
            </w:r>
          </w:p>
        </w:tc>
      </w:tr>
      <w:tr>
        <w:trPr>
          <w:cantSplit/>
        </w:trPr>
        <w:tc>
          <w:tcPr>
            <w:tcW w:type="dxa" w:w="5040"/>
            <w:vAlign w:val="center"/>
          </w:tcPr>
          <w:p>
            <w:pPr>
              <w:spacing w:after="0"/>
            </w:pPr>
            <w:r/>
            <w:r>
              <w:rPr>
                <w:b w:val="0"/>
                <w:sz w:val="16"/>
              </w:rPr>
              <w:t>Deadlines</w:t>
            </w:r>
          </w:p>
        </w:tc>
        <w:tc>
          <w:tcPr>
            <w:tcW w:type="dxa" w:w="5040"/>
            <w:vAlign w:val="center"/>
          </w:tcPr>
          <w:p>
            <w:pPr>
              <w:spacing w:after="0"/>
            </w:pPr>
            <w:r/>
            <w:r>
              <w:rPr>
                <w:b w:val="0"/>
                <w:sz w:val="16"/>
              </w:rPr>
              <w:t>D12, D24, D48; TRUST_RESTORED slot must be &lt; deadline</w:t>
            </w:r>
          </w:p>
        </w:tc>
      </w:tr>
    </w:tbl>
    <w:p>
      <w:pPr>
        <w:pStyle w:val="Heading1"/>
      </w:pPr>
      <w:r>
        <w:t>4. Results</w:t>
      </w:r>
    </w:p>
    <w:p>
      <w:pPr>
        <w:keepLines w:val="0"/>
      </w:pPr>
      <w:r>
        <w:t>4.1 Primary policy result: exact null contrast. All four transition policies achieved modeled trusted recovery in exactly 635/864 positions (73.4954%). Consequently, all six unordered pairwise policy success differences were exactly zero. The prespecified P3-minus-P1 primary risk difference was 0/1, or 0.000000 percentage points. The null P3-minus-P1 result also held in every prespecified stratum. By deadline, P1 and P3 each succeeded in 94/288 (32.6389%) positions at D12, 253/288 (87.8472%) at D24, and 288/288 (100%) at D48. By contact regime, both policies achieved 171/216 (79.1667%) in R1, 173/216 (80.0926%) in R2, 166/216 (76.8519%) in R3, and 125/216 (57.8704%) in R4. By disruption, both achieved 163/216 (75.4630%) under A0, 160/216 (74.0741%) under A1, and 156/216 (72.2222%) under each of A2 and A3. By profile, P1 and P3 were also identical within each exact algorithm pair. These results do not support a claim that the contact-aware guard increases the probability of modeled trusted recovery in the frozen population.</w:t>
      </w:r>
    </w:p>
    <w:p>
      <w:pPr>
        <w:keepLines w:val="0"/>
      </w:pPr>
      <w:r>
        <w:t>4.2 Cryptographic-object burden. PROFILE_512_44 succeeded in 1080/1152 positions (93.7500%), PROFILE_768_65 in 748/1152 (64.9306%), and PROFILE_1024_87 in 712/1152 (61.8056%). Relative to PROFILE_512_44, the exact finite-population success difference was -28.819444 percentage points for PROFILE_768_65 and -31.944444 percentage points for PROFILE_1024_87. PROFILE_1024_87 minus PROFILE_768_65 was -3.125000 percentage points. Across all 1,152 identical policy/regime/disruption/phase/deadline positions, success was non-increasing as the frozen standardized object budget increased. In profile order 512/44, 768/65, and 1024/87, the exact matched success patterns were 111 in 712 positions, 110 in 36, 100 in 332, and 000 in 72. No matched position showed a higher-burden profile succeeding when a lower-burden profile failed. This is evidence about the frozen byte-budget/contact interaction, not measured ML-KEM/ML-DSA execution speed or spacecraft hardware performance.</w:t>
      </w:r>
    </w:p>
    <w:p>
      <w:pPr>
        <w:keepLines w:val="0"/>
      </w:pPr>
      <w:r>
        <w:t>4.3 Contact timing and recovery horizon. All four contact regimes contain the same 65,536 nominal bytes over a complete 48-slot cycle. For P1 and P3, R2 periodic-medium had the highest success (80.0926%), followed by R1 frequent-small (79.1667%), R3 sparse-large (76.8519%), and R4 clustered-medium (57.8704%). Thus equal total-cycle capacity did not imply equal deadline-constrained feasibility; how capacity was partitioned among contacts and placed across logical slots mattered in the frozen model. The deadline gradient was larger: P1/P3 success increased from 32.6389% at D12 to 87.8472% at D24 and 100% at D48. These quantities are logical deadline effects only and cannot be converted into real time because a slot has no physical duration.</w:t>
      </w:r>
    </w:p>
    <w:p>
      <w:pPr>
        <w:keepLines w:val="0"/>
      </w:pPr>
      <w:r>
        <w:t>4.4 Policy-state and resource tradeoffs. Although policy did not change the primary success proportion, it changed modeled state exposure and resource use. P0 hard cutover had zero predecessor/legacy exposure by construction, but mean logical control unavailability was 12.195602 slots (10,537/864). P1 staged cutover had zero control-unavailable slots and the complementary mean predecessor exposure of 12.195602 logical slots. P2 hybrid overlap preserved P1-like predecessor exposure and added mean dual-epoch overlap of 3.403935 logical slots (2,941/864; median 3; maximum 15), without any primary success advantage. P3 retained the zero-control-unavailability property of P1 but increased mean predecessor exposure to 12.497685 logical slots (5,399/432). Relative to P1, P3 used 0.020833 fewer contacts (1/48), 433.711806 fewer modeled cryptographic bytes (124,909/288), and 0.116898 fewer transition attempts (101/864) on average. These are deterministic finite-population differences in the model, not measurements of network traffic, physical bandwidth, or operator workload.</w:t>
      </w:r>
    </w:p>
    <w:p>
      <w:pPr>
        <w:keepLines w:val="0"/>
      </w:pPr>
      <w:r>
        <w:t>Terminal-state distributions also changed. P1 and P2 each produced 52 EPOCH_DIVERGENCE and 177 INSUFFICIENT_MATERIAL_TRANSFER outcomes, whereas P3 produced 148 CONTACT_BUDGET_EXHAUSTED and 81 INSUFFICIENT_MATERIAL_TRANSFER outcomes, with the same 635 successes. Rollback invocation and stale-epoch acceptance were zero throughout the frozen factor lattice. Those structural zeros are safety/invariant checks under the modeled schedules; they are not treatment-effect evidence.</w:t>
      </w:r>
    </w:p>
    <w:p>
      <w:r>
        <w:br w:type="page"/>
      </w:r>
    </w:p>
    <w:p>
      <w:r>
        <w:rPr>
          <w:b/>
        </w:rPr>
        <w:t>Table 2. Primary policy and cryptographic-profile success.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blHeader w:val="true"/>
        </w:trPr>
        <w:tc>
          <w:tcPr>
            <w:tcW w:type="dxa" w:w="2016"/>
            <w:vAlign w:val="center"/>
            <w:shd w:fill="E7E6E6"/>
          </w:tcPr>
          <w:p>
            <w:pPr>
              <w:spacing w:after="0"/>
            </w:pPr>
            <w:r/>
            <w:r>
              <w:rPr>
                <w:b/>
                <w:sz w:val="15"/>
              </w:rPr>
              <w:t>Family</w:t>
            </w:r>
          </w:p>
        </w:tc>
        <w:tc>
          <w:tcPr>
            <w:tcW w:type="dxa" w:w="2016"/>
            <w:vAlign w:val="center"/>
            <w:shd w:fill="E7E6E6"/>
          </w:tcPr>
          <w:p>
            <w:pPr>
              <w:spacing w:after="0"/>
            </w:pPr>
            <w:r/>
            <w:r>
              <w:rPr>
                <w:b/>
                <w:sz w:val="15"/>
              </w:rPr>
              <w:t>Item</w:t>
            </w:r>
          </w:p>
        </w:tc>
        <w:tc>
          <w:tcPr>
            <w:tcW w:type="dxa" w:w="2016"/>
            <w:vAlign w:val="center"/>
            <w:shd w:fill="E7E6E6"/>
          </w:tcPr>
          <w:p>
            <w:pPr>
              <w:spacing w:after="0"/>
            </w:pPr>
            <w:r/>
            <w:r>
              <w:rPr>
                <w:b/>
                <w:sz w:val="15"/>
              </w:rPr>
              <w:t>Success</w:t>
            </w:r>
          </w:p>
        </w:tc>
        <w:tc>
          <w:tcPr>
            <w:tcW w:type="dxa" w:w="2016"/>
            <w:vAlign w:val="center"/>
            <w:shd w:fill="E7E6E6"/>
          </w:tcPr>
          <w:p>
            <w:pPr>
              <w:spacing w:after="0"/>
            </w:pPr>
            <w:r/>
            <w:r>
              <w:rPr>
                <w:b/>
                <w:sz w:val="15"/>
              </w:rPr>
              <w:t>Percent</w:t>
            </w:r>
          </w:p>
        </w:tc>
        <w:tc>
          <w:tcPr>
            <w:tcW w:type="dxa" w:w="2016"/>
            <w:vAlign w:val="center"/>
            <w:shd w:fill="E7E6E6"/>
          </w:tcPr>
          <w:p>
            <w:pPr>
              <w:spacing w:after="0"/>
            </w:pPr>
            <w:r/>
            <w:r>
              <w:rPr>
                <w:b/>
                <w:sz w:val="15"/>
              </w:rPr>
              <w:t>Contrast vs reference (pp)</w:t>
            </w:r>
          </w:p>
        </w:tc>
      </w:tr>
      <w:tr>
        <w:trPr>
          <w:cantSplit/>
        </w:trPr>
        <w:tc>
          <w:tcPr>
            <w:tcW w:type="dxa" w:w="2016"/>
            <w:vAlign w:val="center"/>
          </w:tcPr>
          <w:p>
            <w:pPr>
              <w:spacing w:after="0"/>
            </w:pPr>
            <w:r/>
            <w:r>
              <w:rPr>
                <w:b w:val="0"/>
                <w:sz w:val="15"/>
              </w:rPr>
              <w:t>Policy</w:t>
            </w:r>
          </w:p>
        </w:tc>
        <w:tc>
          <w:tcPr>
            <w:tcW w:type="dxa" w:w="2016"/>
            <w:vAlign w:val="center"/>
          </w:tcPr>
          <w:p>
            <w:pPr>
              <w:spacing w:after="0"/>
            </w:pPr>
            <w:r/>
            <w:r>
              <w:rPr>
                <w:b w:val="0"/>
                <w:sz w:val="15"/>
              </w:rPr>
              <w:t>P0 hard cutover</w:t>
            </w:r>
          </w:p>
        </w:tc>
        <w:tc>
          <w:tcPr>
            <w:tcW w:type="dxa" w:w="2016"/>
            <w:vAlign w:val="center"/>
          </w:tcPr>
          <w:p>
            <w:pPr>
              <w:spacing w:after="0"/>
            </w:pPr>
            <w:r/>
            <w:r>
              <w:rPr>
                <w:b w:val="0"/>
                <w:sz w:val="15"/>
              </w:rPr>
              <w:t>635/864</w:t>
            </w:r>
          </w:p>
        </w:tc>
        <w:tc>
          <w:tcPr>
            <w:tcW w:type="dxa" w:w="2016"/>
            <w:vAlign w:val="center"/>
          </w:tcPr>
          <w:p>
            <w:pPr>
              <w:spacing w:after="0"/>
            </w:pPr>
            <w:r/>
            <w:r>
              <w:rPr>
                <w:b w:val="0"/>
                <w:sz w:val="15"/>
              </w:rPr>
              <w:t>73.4954</w:t>
            </w:r>
          </w:p>
        </w:tc>
        <w:tc>
          <w:tcPr>
            <w:tcW w:type="dxa" w:w="2016"/>
            <w:vAlign w:val="center"/>
          </w:tcPr>
          <w:p>
            <w:pPr>
              <w:spacing w:after="0"/>
            </w:pPr>
            <w:r/>
            <w:r>
              <w:rPr>
                <w:b w:val="0"/>
                <w:sz w:val="15"/>
              </w:rPr>
              <w:t>0.0000</w:t>
            </w:r>
          </w:p>
        </w:tc>
      </w:tr>
      <w:tr>
        <w:trPr>
          <w:cantSplit/>
        </w:trPr>
        <w:tc>
          <w:tcPr>
            <w:tcW w:type="dxa" w:w="2016"/>
            <w:vAlign w:val="center"/>
          </w:tcPr>
          <w:p>
            <w:pPr>
              <w:spacing w:after="0"/>
            </w:pPr>
            <w:r/>
            <w:r>
              <w:rPr>
                <w:b w:val="0"/>
                <w:sz w:val="15"/>
              </w:rPr>
              <w:t>Policy</w:t>
            </w:r>
          </w:p>
        </w:tc>
        <w:tc>
          <w:tcPr>
            <w:tcW w:type="dxa" w:w="2016"/>
            <w:vAlign w:val="center"/>
          </w:tcPr>
          <w:p>
            <w:pPr>
              <w:spacing w:after="0"/>
            </w:pPr>
            <w:r/>
            <w:r>
              <w:rPr>
                <w:b w:val="0"/>
                <w:sz w:val="15"/>
              </w:rPr>
              <w:t>P1 staged cutover</w:t>
            </w:r>
          </w:p>
        </w:tc>
        <w:tc>
          <w:tcPr>
            <w:tcW w:type="dxa" w:w="2016"/>
            <w:vAlign w:val="center"/>
          </w:tcPr>
          <w:p>
            <w:pPr>
              <w:spacing w:after="0"/>
            </w:pPr>
            <w:r/>
            <w:r>
              <w:rPr>
                <w:b w:val="0"/>
                <w:sz w:val="15"/>
              </w:rPr>
              <w:t>635/864</w:t>
            </w:r>
          </w:p>
        </w:tc>
        <w:tc>
          <w:tcPr>
            <w:tcW w:type="dxa" w:w="2016"/>
            <w:vAlign w:val="center"/>
          </w:tcPr>
          <w:p>
            <w:pPr>
              <w:spacing w:after="0"/>
            </w:pPr>
            <w:r/>
            <w:r>
              <w:rPr>
                <w:b w:val="0"/>
                <w:sz w:val="15"/>
              </w:rPr>
              <w:t>73.4954</w:t>
            </w:r>
          </w:p>
        </w:tc>
        <w:tc>
          <w:tcPr>
            <w:tcW w:type="dxa" w:w="2016"/>
            <w:vAlign w:val="center"/>
          </w:tcPr>
          <w:p>
            <w:pPr>
              <w:spacing w:after="0"/>
            </w:pPr>
            <w:r/>
            <w:r>
              <w:rPr>
                <w:b w:val="0"/>
                <w:sz w:val="15"/>
              </w:rPr>
              <w:t>0.0000</w:t>
            </w:r>
          </w:p>
        </w:tc>
      </w:tr>
      <w:tr>
        <w:trPr>
          <w:cantSplit/>
        </w:trPr>
        <w:tc>
          <w:tcPr>
            <w:tcW w:type="dxa" w:w="2016"/>
            <w:vAlign w:val="center"/>
          </w:tcPr>
          <w:p>
            <w:pPr>
              <w:spacing w:after="0"/>
            </w:pPr>
            <w:r/>
            <w:r>
              <w:rPr>
                <w:b w:val="0"/>
                <w:sz w:val="15"/>
              </w:rPr>
              <w:t>Policy</w:t>
            </w:r>
          </w:p>
        </w:tc>
        <w:tc>
          <w:tcPr>
            <w:tcW w:type="dxa" w:w="2016"/>
            <w:vAlign w:val="center"/>
          </w:tcPr>
          <w:p>
            <w:pPr>
              <w:spacing w:after="0"/>
            </w:pPr>
            <w:r/>
            <w:r>
              <w:rPr>
                <w:b w:val="0"/>
                <w:sz w:val="15"/>
              </w:rPr>
              <w:t>P2 hybrid overlap</w:t>
            </w:r>
          </w:p>
        </w:tc>
        <w:tc>
          <w:tcPr>
            <w:tcW w:type="dxa" w:w="2016"/>
            <w:vAlign w:val="center"/>
          </w:tcPr>
          <w:p>
            <w:pPr>
              <w:spacing w:after="0"/>
            </w:pPr>
            <w:r/>
            <w:r>
              <w:rPr>
                <w:b w:val="0"/>
                <w:sz w:val="15"/>
              </w:rPr>
              <w:t>635/864</w:t>
            </w:r>
          </w:p>
        </w:tc>
        <w:tc>
          <w:tcPr>
            <w:tcW w:type="dxa" w:w="2016"/>
            <w:vAlign w:val="center"/>
          </w:tcPr>
          <w:p>
            <w:pPr>
              <w:spacing w:after="0"/>
            </w:pPr>
            <w:r/>
            <w:r>
              <w:rPr>
                <w:b w:val="0"/>
                <w:sz w:val="15"/>
              </w:rPr>
              <w:t>73.4954</w:t>
            </w:r>
          </w:p>
        </w:tc>
        <w:tc>
          <w:tcPr>
            <w:tcW w:type="dxa" w:w="2016"/>
            <w:vAlign w:val="center"/>
          </w:tcPr>
          <w:p>
            <w:pPr>
              <w:spacing w:after="0"/>
            </w:pPr>
            <w:r/>
            <w:r>
              <w:rPr>
                <w:b w:val="0"/>
                <w:sz w:val="15"/>
              </w:rPr>
              <w:t>0.0000</w:t>
            </w:r>
          </w:p>
        </w:tc>
      </w:tr>
      <w:tr>
        <w:trPr>
          <w:cantSplit/>
        </w:trPr>
        <w:tc>
          <w:tcPr>
            <w:tcW w:type="dxa" w:w="2016"/>
            <w:vAlign w:val="center"/>
          </w:tcPr>
          <w:p>
            <w:pPr>
              <w:spacing w:after="0"/>
            </w:pPr>
            <w:r/>
            <w:r>
              <w:rPr>
                <w:b w:val="0"/>
                <w:sz w:val="15"/>
              </w:rPr>
              <w:t>Policy</w:t>
            </w:r>
          </w:p>
        </w:tc>
        <w:tc>
          <w:tcPr>
            <w:tcW w:type="dxa" w:w="2016"/>
            <w:vAlign w:val="center"/>
          </w:tcPr>
          <w:p>
            <w:pPr>
              <w:spacing w:after="0"/>
            </w:pPr>
            <w:r/>
            <w:r>
              <w:rPr>
                <w:b w:val="0"/>
                <w:sz w:val="15"/>
              </w:rPr>
              <w:t>P3 contact-aware staged</w:t>
            </w:r>
          </w:p>
        </w:tc>
        <w:tc>
          <w:tcPr>
            <w:tcW w:type="dxa" w:w="2016"/>
            <w:vAlign w:val="center"/>
          </w:tcPr>
          <w:p>
            <w:pPr>
              <w:spacing w:after="0"/>
            </w:pPr>
            <w:r/>
            <w:r>
              <w:rPr>
                <w:b w:val="0"/>
                <w:sz w:val="15"/>
              </w:rPr>
              <w:t>635/864</w:t>
            </w:r>
          </w:p>
        </w:tc>
        <w:tc>
          <w:tcPr>
            <w:tcW w:type="dxa" w:w="2016"/>
            <w:vAlign w:val="center"/>
          </w:tcPr>
          <w:p>
            <w:pPr>
              <w:spacing w:after="0"/>
            </w:pPr>
            <w:r/>
            <w:r>
              <w:rPr>
                <w:b w:val="0"/>
                <w:sz w:val="15"/>
              </w:rPr>
              <w:t>73.4954</w:t>
            </w:r>
          </w:p>
        </w:tc>
        <w:tc>
          <w:tcPr>
            <w:tcW w:type="dxa" w:w="2016"/>
            <w:vAlign w:val="center"/>
          </w:tcPr>
          <w:p>
            <w:pPr>
              <w:spacing w:after="0"/>
            </w:pPr>
            <w:r/>
            <w:r>
              <w:rPr>
                <w:b w:val="0"/>
                <w:sz w:val="15"/>
              </w:rPr>
              <w:t>0.0000</w:t>
            </w:r>
          </w:p>
        </w:tc>
      </w:tr>
      <w:tr>
        <w:trPr>
          <w:cantSplit/>
        </w:trPr>
        <w:tc>
          <w:tcPr>
            <w:tcW w:type="dxa" w:w="2016"/>
            <w:vAlign w:val="center"/>
          </w:tcPr>
          <w:p>
            <w:pPr>
              <w:spacing w:after="0"/>
            </w:pPr>
            <w:r/>
            <w:r>
              <w:rPr>
                <w:b w:val="0"/>
                <w:sz w:val="15"/>
              </w:rPr>
              <w:t>Profile</w:t>
            </w:r>
          </w:p>
        </w:tc>
        <w:tc>
          <w:tcPr>
            <w:tcW w:type="dxa" w:w="2016"/>
            <w:vAlign w:val="center"/>
          </w:tcPr>
          <w:p>
            <w:pPr>
              <w:spacing w:after="0"/>
            </w:pPr>
            <w:r/>
            <w:r>
              <w:rPr>
                <w:b w:val="0"/>
                <w:sz w:val="15"/>
              </w:rPr>
              <w:t>ML-KEM-512 / ML-DSA-44</w:t>
            </w:r>
          </w:p>
        </w:tc>
        <w:tc>
          <w:tcPr>
            <w:tcW w:type="dxa" w:w="2016"/>
            <w:vAlign w:val="center"/>
          </w:tcPr>
          <w:p>
            <w:pPr>
              <w:spacing w:after="0"/>
            </w:pPr>
            <w:r/>
            <w:r>
              <w:rPr>
                <w:b w:val="0"/>
                <w:sz w:val="15"/>
              </w:rPr>
              <w:t>1080/1152</w:t>
            </w:r>
          </w:p>
        </w:tc>
        <w:tc>
          <w:tcPr>
            <w:tcW w:type="dxa" w:w="2016"/>
            <w:vAlign w:val="center"/>
          </w:tcPr>
          <w:p>
            <w:pPr>
              <w:spacing w:after="0"/>
            </w:pPr>
            <w:r/>
            <w:r>
              <w:rPr>
                <w:b w:val="0"/>
                <w:sz w:val="15"/>
              </w:rPr>
              <w:t>93.7500</w:t>
            </w:r>
          </w:p>
        </w:tc>
        <w:tc>
          <w:tcPr>
            <w:tcW w:type="dxa" w:w="2016"/>
            <w:vAlign w:val="center"/>
          </w:tcPr>
          <w:p>
            <w:pPr>
              <w:spacing w:after="0"/>
            </w:pPr>
            <w:r/>
            <w:r>
              <w:rPr>
                <w:b w:val="0"/>
                <w:sz w:val="15"/>
              </w:rPr>
              <w:t>0.000000</w:t>
            </w:r>
          </w:p>
        </w:tc>
      </w:tr>
      <w:tr>
        <w:trPr>
          <w:cantSplit/>
        </w:trPr>
        <w:tc>
          <w:tcPr>
            <w:tcW w:type="dxa" w:w="2016"/>
            <w:vAlign w:val="center"/>
          </w:tcPr>
          <w:p>
            <w:pPr>
              <w:spacing w:after="0"/>
            </w:pPr>
            <w:r/>
            <w:r>
              <w:rPr>
                <w:b w:val="0"/>
                <w:sz w:val="15"/>
              </w:rPr>
              <w:t>Profile</w:t>
            </w:r>
          </w:p>
        </w:tc>
        <w:tc>
          <w:tcPr>
            <w:tcW w:type="dxa" w:w="2016"/>
            <w:vAlign w:val="center"/>
          </w:tcPr>
          <w:p>
            <w:pPr>
              <w:spacing w:after="0"/>
            </w:pPr>
            <w:r/>
            <w:r>
              <w:rPr>
                <w:b w:val="0"/>
                <w:sz w:val="15"/>
              </w:rPr>
              <w:t>ML-KEM-768 / ML-DSA-65</w:t>
            </w:r>
          </w:p>
        </w:tc>
        <w:tc>
          <w:tcPr>
            <w:tcW w:type="dxa" w:w="2016"/>
            <w:vAlign w:val="center"/>
          </w:tcPr>
          <w:p>
            <w:pPr>
              <w:spacing w:after="0"/>
            </w:pPr>
            <w:r/>
            <w:r>
              <w:rPr>
                <w:b w:val="0"/>
                <w:sz w:val="15"/>
              </w:rPr>
              <w:t>748/1152</w:t>
            </w:r>
          </w:p>
        </w:tc>
        <w:tc>
          <w:tcPr>
            <w:tcW w:type="dxa" w:w="2016"/>
            <w:vAlign w:val="center"/>
          </w:tcPr>
          <w:p>
            <w:pPr>
              <w:spacing w:after="0"/>
            </w:pPr>
            <w:r/>
            <w:r>
              <w:rPr>
                <w:b w:val="0"/>
                <w:sz w:val="15"/>
              </w:rPr>
              <w:t>64.9306</w:t>
            </w:r>
          </w:p>
        </w:tc>
        <w:tc>
          <w:tcPr>
            <w:tcW w:type="dxa" w:w="2016"/>
            <w:vAlign w:val="center"/>
          </w:tcPr>
          <w:p>
            <w:pPr>
              <w:spacing w:after="0"/>
            </w:pPr>
            <w:r/>
            <w:r>
              <w:rPr>
                <w:b w:val="0"/>
                <w:sz w:val="15"/>
              </w:rPr>
              <w:t>-28.819444</w:t>
            </w:r>
          </w:p>
        </w:tc>
      </w:tr>
      <w:tr>
        <w:trPr>
          <w:cantSplit/>
        </w:trPr>
        <w:tc>
          <w:tcPr>
            <w:tcW w:type="dxa" w:w="2016"/>
            <w:vAlign w:val="center"/>
          </w:tcPr>
          <w:p>
            <w:pPr>
              <w:spacing w:after="0"/>
            </w:pPr>
            <w:r/>
            <w:r>
              <w:rPr>
                <w:b w:val="0"/>
                <w:sz w:val="15"/>
              </w:rPr>
              <w:t>Profile</w:t>
            </w:r>
          </w:p>
        </w:tc>
        <w:tc>
          <w:tcPr>
            <w:tcW w:type="dxa" w:w="2016"/>
            <w:vAlign w:val="center"/>
          </w:tcPr>
          <w:p>
            <w:pPr>
              <w:spacing w:after="0"/>
            </w:pPr>
            <w:r/>
            <w:r>
              <w:rPr>
                <w:b w:val="0"/>
                <w:sz w:val="15"/>
              </w:rPr>
              <w:t>ML-KEM-1024 / ML-DSA-87</w:t>
            </w:r>
          </w:p>
        </w:tc>
        <w:tc>
          <w:tcPr>
            <w:tcW w:type="dxa" w:w="2016"/>
            <w:vAlign w:val="center"/>
          </w:tcPr>
          <w:p>
            <w:pPr>
              <w:spacing w:after="0"/>
            </w:pPr>
            <w:r/>
            <w:r>
              <w:rPr>
                <w:b w:val="0"/>
                <w:sz w:val="15"/>
              </w:rPr>
              <w:t>712/1152</w:t>
            </w:r>
          </w:p>
        </w:tc>
        <w:tc>
          <w:tcPr>
            <w:tcW w:type="dxa" w:w="2016"/>
            <w:vAlign w:val="center"/>
          </w:tcPr>
          <w:p>
            <w:pPr>
              <w:spacing w:after="0"/>
            </w:pPr>
            <w:r/>
            <w:r>
              <w:rPr>
                <w:b w:val="0"/>
                <w:sz w:val="15"/>
              </w:rPr>
              <w:t>61.8056</w:t>
            </w:r>
          </w:p>
        </w:tc>
        <w:tc>
          <w:tcPr>
            <w:tcW w:type="dxa" w:w="2016"/>
            <w:vAlign w:val="center"/>
          </w:tcPr>
          <w:p>
            <w:pPr>
              <w:spacing w:after="0"/>
            </w:pPr>
            <w:r/>
            <w:r>
              <w:rPr>
                <w:b w:val="0"/>
                <w:sz w:val="15"/>
              </w:rPr>
              <w:t>-31.944444</w:t>
            </w:r>
          </w:p>
        </w:tc>
      </w:tr>
    </w:tbl>
    <w:p>
      <w:r>
        <w:rPr>
          <w:b/>
        </w:rPr>
        <w:t>Table 3. Prespecified P3 versus P1 stratified contrasts.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cantSplit/>
          <w:tblHeader w:val="true"/>
        </w:trPr>
        <w:tc>
          <w:tcPr>
            <w:tcW w:type="dxa" w:w="1440"/>
            <w:vAlign w:val="center"/>
            <w:shd w:fill="E7E6E6"/>
          </w:tcPr>
          <w:p>
            <w:pPr>
              <w:spacing w:after="0"/>
            </w:pPr>
            <w:r/>
            <w:r>
              <w:rPr>
                <w:b/>
                <w:sz w:val="13"/>
              </w:rPr>
              <w:t>Dimension</w:t>
            </w:r>
          </w:p>
        </w:tc>
        <w:tc>
          <w:tcPr>
            <w:tcW w:type="dxa" w:w="1440"/>
            <w:vAlign w:val="center"/>
            <w:shd w:fill="E7E6E6"/>
          </w:tcPr>
          <w:p>
            <w:pPr>
              <w:spacing w:after="0"/>
            </w:pPr>
            <w:r/>
            <w:r>
              <w:rPr>
                <w:b/>
                <w:sz w:val="13"/>
              </w:rPr>
              <w:t>Stratum</w:t>
            </w:r>
          </w:p>
        </w:tc>
        <w:tc>
          <w:tcPr>
            <w:tcW w:type="dxa" w:w="1440"/>
            <w:vAlign w:val="center"/>
            <w:shd w:fill="E7E6E6"/>
          </w:tcPr>
          <w:p>
            <w:pPr>
              <w:spacing w:after="0"/>
            </w:pPr>
            <w:r/>
            <w:r>
              <w:rPr>
                <w:b/>
                <w:sz w:val="13"/>
              </w:rPr>
              <w:t>P1 success</w:t>
            </w:r>
          </w:p>
        </w:tc>
        <w:tc>
          <w:tcPr>
            <w:tcW w:type="dxa" w:w="1440"/>
            <w:vAlign w:val="center"/>
            <w:shd w:fill="E7E6E6"/>
          </w:tcPr>
          <w:p>
            <w:pPr>
              <w:spacing w:after="0"/>
            </w:pPr>
            <w:r/>
            <w:r>
              <w:rPr>
                <w:b/>
                <w:sz w:val="13"/>
              </w:rPr>
              <w:t>P1 %</w:t>
            </w:r>
          </w:p>
        </w:tc>
        <w:tc>
          <w:tcPr>
            <w:tcW w:type="dxa" w:w="1440"/>
            <w:vAlign w:val="center"/>
            <w:shd w:fill="E7E6E6"/>
          </w:tcPr>
          <w:p>
            <w:pPr>
              <w:spacing w:after="0"/>
            </w:pPr>
            <w:r/>
            <w:r>
              <w:rPr>
                <w:b/>
                <w:sz w:val="13"/>
              </w:rPr>
              <w:t>P3 success</w:t>
            </w:r>
          </w:p>
        </w:tc>
        <w:tc>
          <w:tcPr>
            <w:tcW w:type="dxa" w:w="1440"/>
            <w:vAlign w:val="center"/>
            <w:shd w:fill="E7E6E6"/>
          </w:tcPr>
          <w:p>
            <w:pPr>
              <w:spacing w:after="0"/>
            </w:pPr>
            <w:r/>
            <w:r>
              <w:rPr>
                <w:b/>
                <w:sz w:val="13"/>
              </w:rPr>
              <w:t>P3 %</w:t>
            </w:r>
          </w:p>
        </w:tc>
        <w:tc>
          <w:tcPr>
            <w:tcW w:type="dxa" w:w="1440"/>
            <w:vAlign w:val="center"/>
            <w:shd w:fill="E7E6E6"/>
          </w:tcPr>
          <w:p>
            <w:pPr>
              <w:spacing w:after="0"/>
            </w:pPr>
            <w:r/>
            <w:r>
              <w:rPr>
                <w:b/>
                <w:sz w:val="13"/>
              </w:rPr>
              <w:t>P3-P1 pp</w:t>
            </w:r>
          </w:p>
        </w:tc>
      </w:tr>
      <w:tr>
        <w:trPr>
          <w:cantSplit/>
        </w:trPr>
        <w:tc>
          <w:tcPr>
            <w:tcW w:type="dxa" w:w="1440"/>
            <w:vAlign w:val="center"/>
          </w:tcPr>
          <w:p>
            <w:pPr>
              <w:spacing w:after="0"/>
            </w:pPr>
            <w:r/>
            <w:r>
              <w:rPr>
                <w:b w:val="0"/>
                <w:sz w:val="13"/>
              </w:rPr>
              <w:t>Regime</w:t>
            </w:r>
          </w:p>
        </w:tc>
        <w:tc>
          <w:tcPr>
            <w:tcW w:type="dxa" w:w="1440"/>
            <w:vAlign w:val="center"/>
          </w:tcPr>
          <w:p>
            <w:pPr>
              <w:spacing w:after="0"/>
            </w:pPr>
            <w:r/>
            <w:r>
              <w:rPr>
                <w:b w:val="0"/>
                <w:sz w:val="13"/>
              </w:rPr>
              <w:t>R1 frequent-small</w:t>
            </w:r>
          </w:p>
        </w:tc>
        <w:tc>
          <w:tcPr>
            <w:tcW w:type="dxa" w:w="1440"/>
            <w:vAlign w:val="center"/>
          </w:tcPr>
          <w:p>
            <w:pPr>
              <w:spacing w:after="0"/>
            </w:pPr>
            <w:r/>
            <w:r>
              <w:rPr>
                <w:b w:val="0"/>
                <w:sz w:val="13"/>
              </w:rPr>
              <w:t>171/216</w:t>
            </w:r>
          </w:p>
        </w:tc>
        <w:tc>
          <w:tcPr>
            <w:tcW w:type="dxa" w:w="1440"/>
            <w:vAlign w:val="center"/>
          </w:tcPr>
          <w:p>
            <w:pPr>
              <w:spacing w:after="0"/>
            </w:pPr>
            <w:r/>
            <w:r>
              <w:rPr>
                <w:b w:val="0"/>
                <w:sz w:val="13"/>
              </w:rPr>
              <w:t>79.1667</w:t>
            </w:r>
          </w:p>
        </w:tc>
        <w:tc>
          <w:tcPr>
            <w:tcW w:type="dxa" w:w="1440"/>
            <w:vAlign w:val="center"/>
          </w:tcPr>
          <w:p>
            <w:pPr>
              <w:spacing w:after="0"/>
            </w:pPr>
            <w:r/>
            <w:r>
              <w:rPr>
                <w:b w:val="0"/>
                <w:sz w:val="13"/>
              </w:rPr>
              <w:t>171/216</w:t>
            </w:r>
          </w:p>
        </w:tc>
        <w:tc>
          <w:tcPr>
            <w:tcW w:type="dxa" w:w="1440"/>
            <w:vAlign w:val="center"/>
          </w:tcPr>
          <w:p>
            <w:pPr>
              <w:spacing w:after="0"/>
            </w:pPr>
            <w:r/>
            <w:r>
              <w:rPr>
                <w:b w:val="0"/>
                <w:sz w:val="13"/>
              </w:rPr>
              <w:t>79.1667</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Regime</w:t>
            </w:r>
          </w:p>
        </w:tc>
        <w:tc>
          <w:tcPr>
            <w:tcW w:type="dxa" w:w="1440"/>
            <w:vAlign w:val="center"/>
          </w:tcPr>
          <w:p>
            <w:pPr>
              <w:spacing w:after="0"/>
            </w:pPr>
            <w:r/>
            <w:r>
              <w:rPr>
                <w:b w:val="0"/>
                <w:sz w:val="13"/>
              </w:rPr>
              <w:t>R2 periodic-medium</w:t>
            </w:r>
          </w:p>
        </w:tc>
        <w:tc>
          <w:tcPr>
            <w:tcW w:type="dxa" w:w="1440"/>
            <w:vAlign w:val="center"/>
          </w:tcPr>
          <w:p>
            <w:pPr>
              <w:spacing w:after="0"/>
            </w:pPr>
            <w:r/>
            <w:r>
              <w:rPr>
                <w:b w:val="0"/>
                <w:sz w:val="13"/>
              </w:rPr>
              <w:t>173/216</w:t>
            </w:r>
          </w:p>
        </w:tc>
        <w:tc>
          <w:tcPr>
            <w:tcW w:type="dxa" w:w="1440"/>
            <w:vAlign w:val="center"/>
          </w:tcPr>
          <w:p>
            <w:pPr>
              <w:spacing w:after="0"/>
            </w:pPr>
            <w:r/>
            <w:r>
              <w:rPr>
                <w:b w:val="0"/>
                <w:sz w:val="13"/>
              </w:rPr>
              <w:t>80.0926</w:t>
            </w:r>
          </w:p>
        </w:tc>
        <w:tc>
          <w:tcPr>
            <w:tcW w:type="dxa" w:w="1440"/>
            <w:vAlign w:val="center"/>
          </w:tcPr>
          <w:p>
            <w:pPr>
              <w:spacing w:after="0"/>
            </w:pPr>
            <w:r/>
            <w:r>
              <w:rPr>
                <w:b w:val="0"/>
                <w:sz w:val="13"/>
              </w:rPr>
              <w:t>173/216</w:t>
            </w:r>
          </w:p>
        </w:tc>
        <w:tc>
          <w:tcPr>
            <w:tcW w:type="dxa" w:w="1440"/>
            <w:vAlign w:val="center"/>
          </w:tcPr>
          <w:p>
            <w:pPr>
              <w:spacing w:after="0"/>
            </w:pPr>
            <w:r/>
            <w:r>
              <w:rPr>
                <w:b w:val="0"/>
                <w:sz w:val="13"/>
              </w:rPr>
              <w:t>80.0926</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Regime</w:t>
            </w:r>
          </w:p>
        </w:tc>
        <w:tc>
          <w:tcPr>
            <w:tcW w:type="dxa" w:w="1440"/>
            <w:vAlign w:val="center"/>
          </w:tcPr>
          <w:p>
            <w:pPr>
              <w:spacing w:after="0"/>
            </w:pPr>
            <w:r/>
            <w:r>
              <w:rPr>
                <w:b w:val="0"/>
                <w:sz w:val="13"/>
              </w:rPr>
              <w:t>R3 sparse-large</w:t>
            </w:r>
          </w:p>
        </w:tc>
        <w:tc>
          <w:tcPr>
            <w:tcW w:type="dxa" w:w="1440"/>
            <w:vAlign w:val="center"/>
          </w:tcPr>
          <w:p>
            <w:pPr>
              <w:spacing w:after="0"/>
            </w:pPr>
            <w:r/>
            <w:r>
              <w:rPr>
                <w:b w:val="0"/>
                <w:sz w:val="13"/>
              </w:rPr>
              <w:t>166/216</w:t>
            </w:r>
          </w:p>
        </w:tc>
        <w:tc>
          <w:tcPr>
            <w:tcW w:type="dxa" w:w="1440"/>
            <w:vAlign w:val="center"/>
          </w:tcPr>
          <w:p>
            <w:pPr>
              <w:spacing w:after="0"/>
            </w:pPr>
            <w:r/>
            <w:r>
              <w:rPr>
                <w:b w:val="0"/>
                <w:sz w:val="13"/>
              </w:rPr>
              <w:t>76.8519</w:t>
            </w:r>
          </w:p>
        </w:tc>
        <w:tc>
          <w:tcPr>
            <w:tcW w:type="dxa" w:w="1440"/>
            <w:vAlign w:val="center"/>
          </w:tcPr>
          <w:p>
            <w:pPr>
              <w:spacing w:after="0"/>
            </w:pPr>
            <w:r/>
            <w:r>
              <w:rPr>
                <w:b w:val="0"/>
                <w:sz w:val="13"/>
              </w:rPr>
              <w:t>166/216</w:t>
            </w:r>
          </w:p>
        </w:tc>
        <w:tc>
          <w:tcPr>
            <w:tcW w:type="dxa" w:w="1440"/>
            <w:vAlign w:val="center"/>
          </w:tcPr>
          <w:p>
            <w:pPr>
              <w:spacing w:after="0"/>
            </w:pPr>
            <w:r/>
            <w:r>
              <w:rPr>
                <w:b w:val="0"/>
                <w:sz w:val="13"/>
              </w:rPr>
              <w:t>76.8519</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Regime</w:t>
            </w:r>
          </w:p>
        </w:tc>
        <w:tc>
          <w:tcPr>
            <w:tcW w:type="dxa" w:w="1440"/>
            <w:vAlign w:val="center"/>
          </w:tcPr>
          <w:p>
            <w:pPr>
              <w:spacing w:after="0"/>
            </w:pPr>
            <w:r/>
            <w:r>
              <w:rPr>
                <w:b w:val="0"/>
                <w:sz w:val="13"/>
              </w:rPr>
              <w:t>R4 clustered-medium</w:t>
            </w:r>
          </w:p>
        </w:tc>
        <w:tc>
          <w:tcPr>
            <w:tcW w:type="dxa" w:w="1440"/>
            <w:vAlign w:val="center"/>
          </w:tcPr>
          <w:p>
            <w:pPr>
              <w:spacing w:after="0"/>
            </w:pPr>
            <w:r/>
            <w:r>
              <w:rPr>
                <w:b w:val="0"/>
                <w:sz w:val="13"/>
              </w:rPr>
              <w:t>125/216</w:t>
            </w:r>
          </w:p>
        </w:tc>
        <w:tc>
          <w:tcPr>
            <w:tcW w:type="dxa" w:w="1440"/>
            <w:vAlign w:val="center"/>
          </w:tcPr>
          <w:p>
            <w:pPr>
              <w:spacing w:after="0"/>
            </w:pPr>
            <w:r/>
            <w:r>
              <w:rPr>
                <w:b w:val="0"/>
                <w:sz w:val="13"/>
              </w:rPr>
              <w:t>57.8704</w:t>
            </w:r>
          </w:p>
        </w:tc>
        <w:tc>
          <w:tcPr>
            <w:tcW w:type="dxa" w:w="1440"/>
            <w:vAlign w:val="center"/>
          </w:tcPr>
          <w:p>
            <w:pPr>
              <w:spacing w:after="0"/>
            </w:pPr>
            <w:r/>
            <w:r>
              <w:rPr>
                <w:b w:val="0"/>
                <w:sz w:val="13"/>
              </w:rPr>
              <w:t>125/216</w:t>
            </w:r>
          </w:p>
        </w:tc>
        <w:tc>
          <w:tcPr>
            <w:tcW w:type="dxa" w:w="1440"/>
            <w:vAlign w:val="center"/>
          </w:tcPr>
          <w:p>
            <w:pPr>
              <w:spacing w:after="0"/>
            </w:pPr>
            <w:r/>
            <w:r>
              <w:rPr>
                <w:b w:val="0"/>
                <w:sz w:val="13"/>
              </w:rPr>
              <w:t>57.8704</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Profile</w:t>
            </w:r>
          </w:p>
        </w:tc>
        <w:tc>
          <w:tcPr>
            <w:tcW w:type="dxa" w:w="1440"/>
            <w:vAlign w:val="center"/>
          </w:tcPr>
          <w:p>
            <w:pPr>
              <w:spacing w:after="0"/>
            </w:pPr>
            <w:r/>
            <w:r>
              <w:rPr>
                <w:b w:val="0"/>
                <w:sz w:val="13"/>
              </w:rPr>
              <w:t>512/44</w:t>
            </w:r>
          </w:p>
        </w:tc>
        <w:tc>
          <w:tcPr>
            <w:tcW w:type="dxa" w:w="1440"/>
            <w:vAlign w:val="center"/>
          </w:tcPr>
          <w:p>
            <w:pPr>
              <w:spacing w:after="0"/>
            </w:pPr>
            <w:r/>
            <w:r>
              <w:rPr>
                <w:b w:val="0"/>
                <w:sz w:val="13"/>
              </w:rPr>
              <w:t>270/288</w:t>
            </w:r>
          </w:p>
        </w:tc>
        <w:tc>
          <w:tcPr>
            <w:tcW w:type="dxa" w:w="1440"/>
            <w:vAlign w:val="center"/>
          </w:tcPr>
          <w:p>
            <w:pPr>
              <w:spacing w:after="0"/>
            </w:pPr>
            <w:r/>
            <w:r>
              <w:rPr>
                <w:b w:val="0"/>
                <w:sz w:val="13"/>
              </w:rPr>
              <w:t>93.7500</w:t>
            </w:r>
          </w:p>
        </w:tc>
        <w:tc>
          <w:tcPr>
            <w:tcW w:type="dxa" w:w="1440"/>
            <w:vAlign w:val="center"/>
          </w:tcPr>
          <w:p>
            <w:pPr>
              <w:spacing w:after="0"/>
            </w:pPr>
            <w:r/>
            <w:r>
              <w:rPr>
                <w:b w:val="0"/>
                <w:sz w:val="13"/>
              </w:rPr>
              <w:t>270/288</w:t>
            </w:r>
          </w:p>
        </w:tc>
        <w:tc>
          <w:tcPr>
            <w:tcW w:type="dxa" w:w="1440"/>
            <w:vAlign w:val="center"/>
          </w:tcPr>
          <w:p>
            <w:pPr>
              <w:spacing w:after="0"/>
            </w:pPr>
            <w:r/>
            <w:r>
              <w:rPr>
                <w:b w:val="0"/>
                <w:sz w:val="13"/>
              </w:rPr>
              <w:t>93.7500</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Profile</w:t>
            </w:r>
          </w:p>
        </w:tc>
        <w:tc>
          <w:tcPr>
            <w:tcW w:type="dxa" w:w="1440"/>
            <w:vAlign w:val="center"/>
          </w:tcPr>
          <w:p>
            <w:pPr>
              <w:spacing w:after="0"/>
            </w:pPr>
            <w:r/>
            <w:r>
              <w:rPr>
                <w:b w:val="0"/>
                <w:sz w:val="13"/>
              </w:rPr>
              <w:t>768/65</w:t>
            </w:r>
          </w:p>
        </w:tc>
        <w:tc>
          <w:tcPr>
            <w:tcW w:type="dxa" w:w="1440"/>
            <w:vAlign w:val="center"/>
          </w:tcPr>
          <w:p>
            <w:pPr>
              <w:spacing w:after="0"/>
            </w:pPr>
            <w:r/>
            <w:r>
              <w:rPr>
                <w:b w:val="0"/>
                <w:sz w:val="13"/>
              </w:rPr>
              <w:t>187/288</w:t>
            </w:r>
          </w:p>
        </w:tc>
        <w:tc>
          <w:tcPr>
            <w:tcW w:type="dxa" w:w="1440"/>
            <w:vAlign w:val="center"/>
          </w:tcPr>
          <w:p>
            <w:pPr>
              <w:spacing w:after="0"/>
            </w:pPr>
            <w:r/>
            <w:r>
              <w:rPr>
                <w:b w:val="0"/>
                <w:sz w:val="13"/>
              </w:rPr>
              <w:t>64.9306</w:t>
            </w:r>
          </w:p>
        </w:tc>
        <w:tc>
          <w:tcPr>
            <w:tcW w:type="dxa" w:w="1440"/>
            <w:vAlign w:val="center"/>
          </w:tcPr>
          <w:p>
            <w:pPr>
              <w:spacing w:after="0"/>
            </w:pPr>
            <w:r/>
            <w:r>
              <w:rPr>
                <w:b w:val="0"/>
                <w:sz w:val="13"/>
              </w:rPr>
              <w:t>187/288</w:t>
            </w:r>
          </w:p>
        </w:tc>
        <w:tc>
          <w:tcPr>
            <w:tcW w:type="dxa" w:w="1440"/>
            <w:vAlign w:val="center"/>
          </w:tcPr>
          <w:p>
            <w:pPr>
              <w:spacing w:after="0"/>
            </w:pPr>
            <w:r/>
            <w:r>
              <w:rPr>
                <w:b w:val="0"/>
                <w:sz w:val="13"/>
              </w:rPr>
              <w:t>64.9306</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Profile</w:t>
            </w:r>
          </w:p>
        </w:tc>
        <w:tc>
          <w:tcPr>
            <w:tcW w:type="dxa" w:w="1440"/>
            <w:vAlign w:val="center"/>
          </w:tcPr>
          <w:p>
            <w:pPr>
              <w:spacing w:after="0"/>
            </w:pPr>
            <w:r/>
            <w:r>
              <w:rPr>
                <w:b w:val="0"/>
                <w:sz w:val="13"/>
              </w:rPr>
              <w:t>1024/87</w:t>
            </w:r>
          </w:p>
        </w:tc>
        <w:tc>
          <w:tcPr>
            <w:tcW w:type="dxa" w:w="1440"/>
            <w:vAlign w:val="center"/>
          </w:tcPr>
          <w:p>
            <w:pPr>
              <w:spacing w:after="0"/>
            </w:pPr>
            <w:r/>
            <w:r>
              <w:rPr>
                <w:b w:val="0"/>
                <w:sz w:val="13"/>
              </w:rPr>
              <w:t>178/288</w:t>
            </w:r>
          </w:p>
        </w:tc>
        <w:tc>
          <w:tcPr>
            <w:tcW w:type="dxa" w:w="1440"/>
            <w:vAlign w:val="center"/>
          </w:tcPr>
          <w:p>
            <w:pPr>
              <w:spacing w:after="0"/>
            </w:pPr>
            <w:r/>
            <w:r>
              <w:rPr>
                <w:b w:val="0"/>
                <w:sz w:val="13"/>
              </w:rPr>
              <w:t>61.8056</w:t>
            </w:r>
          </w:p>
        </w:tc>
        <w:tc>
          <w:tcPr>
            <w:tcW w:type="dxa" w:w="1440"/>
            <w:vAlign w:val="center"/>
          </w:tcPr>
          <w:p>
            <w:pPr>
              <w:spacing w:after="0"/>
            </w:pPr>
            <w:r/>
            <w:r>
              <w:rPr>
                <w:b w:val="0"/>
                <w:sz w:val="13"/>
              </w:rPr>
              <w:t>178/288</w:t>
            </w:r>
          </w:p>
        </w:tc>
        <w:tc>
          <w:tcPr>
            <w:tcW w:type="dxa" w:w="1440"/>
            <w:vAlign w:val="center"/>
          </w:tcPr>
          <w:p>
            <w:pPr>
              <w:spacing w:after="0"/>
            </w:pPr>
            <w:r/>
            <w:r>
              <w:rPr>
                <w:b w:val="0"/>
                <w:sz w:val="13"/>
              </w:rPr>
              <w:t>61.8056</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Disruption</w:t>
            </w:r>
          </w:p>
        </w:tc>
        <w:tc>
          <w:tcPr>
            <w:tcW w:type="dxa" w:w="1440"/>
            <w:vAlign w:val="center"/>
          </w:tcPr>
          <w:p>
            <w:pPr>
              <w:spacing w:after="0"/>
            </w:pPr>
            <w:r/>
            <w:r>
              <w:rPr>
                <w:b w:val="0"/>
                <w:sz w:val="13"/>
              </w:rPr>
              <w:t>A0 none</w:t>
            </w:r>
          </w:p>
        </w:tc>
        <w:tc>
          <w:tcPr>
            <w:tcW w:type="dxa" w:w="1440"/>
            <w:vAlign w:val="center"/>
          </w:tcPr>
          <w:p>
            <w:pPr>
              <w:spacing w:after="0"/>
            </w:pPr>
            <w:r/>
            <w:r>
              <w:rPr>
                <w:b w:val="0"/>
                <w:sz w:val="13"/>
              </w:rPr>
              <w:t>163/216</w:t>
            </w:r>
          </w:p>
        </w:tc>
        <w:tc>
          <w:tcPr>
            <w:tcW w:type="dxa" w:w="1440"/>
            <w:vAlign w:val="center"/>
          </w:tcPr>
          <w:p>
            <w:pPr>
              <w:spacing w:after="0"/>
            </w:pPr>
            <w:r/>
            <w:r>
              <w:rPr>
                <w:b w:val="0"/>
                <w:sz w:val="13"/>
              </w:rPr>
              <w:t>75.4630</w:t>
            </w:r>
          </w:p>
        </w:tc>
        <w:tc>
          <w:tcPr>
            <w:tcW w:type="dxa" w:w="1440"/>
            <w:vAlign w:val="center"/>
          </w:tcPr>
          <w:p>
            <w:pPr>
              <w:spacing w:after="0"/>
            </w:pPr>
            <w:r/>
            <w:r>
              <w:rPr>
                <w:b w:val="0"/>
                <w:sz w:val="13"/>
              </w:rPr>
              <w:t>163/216</w:t>
            </w:r>
          </w:p>
        </w:tc>
        <w:tc>
          <w:tcPr>
            <w:tcW w:type="dxa" w:w="1440"/>
            <w:vAlign w:val="center"/>
          </w:tcPr>
          <w:p>
            <w:pPr>
              <w:spacing w:after="0"/>
            </w:pPr>
            <w:r/>
            <w:r>
              <w:rPr>
                <w:b w:val="0"/>
                <w:sz w:val="13"/>
              </w:rPr>
              <w:t>75.4630</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Disruption</w:t>
            </w:r>
          </w:p>
        </w:tc>
        <w:tc>
          <w:tcPr>
            <w:tcW w:type="dxa" w:w="1440"/>
            <w:vAlign w:val="center"/>
          </w:tcPr>
          <w:p>
            <w:pPr>
              <w:spacing w:after="0"/>
            </w:pPr>
            <w:r/>
            <w:r>
              <w:rPr>
                <w:b w:val="0"/>
                <w:sz w:val="13"/>
              </w:rPr>
              <w:t>A1 drop fragment</w:t>
            </w:r>
          </w:p>
        </w:tc>
        <w:tc>
          <w:tcPr>
            <w:tcW w:type="dxa" w:w="1440"/>
            <w:vAlign w:val="center"/>
          </w:tcPr>
          <w:p>
            <w:pPr>
              <w:spacing w:after="0"/>
            </w:pPr>
            <w:r/>
            <w:r>
              <w:rPr>
                <w:b w:val="0"/>
                <w:sz w:val="13"/>
              </w:rPr>
              <w:t>160/216</w:t>
            </w:r>
          </w:p>
        </w:tc>
        <w:tc>
          <w:tcPr>
            <w:tcW w:type="dxa" w:w="1440"/>
            <w:vAlign w:val="center"/>
          </w:tcPr>
          <w:p>
            <w:pPr>
              <w:spacing w:after="0"/>
            </w:pPr>
            <w:r/>
            <w:r>
              <w:rPr>
                <w:b w:val="0"/>
                <w:sz w:val="13"/>
              </w:rPr>
              <w:t>74.0741</w:t>
            </w:r>
          </w:p>
        </w:tc>
        <w:tc>
          <w:tcPr>
            <w:tcW w:type="dxa" w:w="1440"/>
            <w:vAlign w:val="center"/>
          </w:tcPr>
          <w:p>
            <w:pPr>
              <w:spacing w:after="0"/>
            </w:pPr>
            <w:r/>
            <w:r>
              <w:rPr>
                <w:b w:val="0"/>
                <w:sz w:val="13"/>
              </w:rPr>
              <w:t>160/216</w:t>
            </w:r>
          </w:p>
        </w:tc>
        <w:tc>
          <w:tcPr>
            <w:tcW w:type="dxa" w:w="1440"/>
            <w:vAlign w:val="center"/>
          </w:tcPr>
          <w:p>
            <w:pPr>
              <w:spacing w:after="0"/>
            </w:pPr>
            <w:r/>
            <w:r>
              <w:rPr>
                <w:b w:val="0"/>
                <w:sz w:val="13"/>
              </w:rPr>
              <w:t>74.0741</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Disruption</w:t>
            </w:r>
          </w:p>
        </w:tc>
        <w:tc>
          <w:tcPr>
            <w:tcW w:type="dxa" w:w="1440"/>
            <w:vAlign w:val="center"/>
          </w:tcPr>
          <w:p>
            <w:pPr>
              <w:spacing w:after="0"/>
            </w:pPr>
            <w:r/>
            <w:r>
              <w:rPr>
                <w:b w:val="0"/>
                <w:sz w:val="13"/>
              </w:rPr>
              <w:t>A2 proof delay</w:t>
            </w:r>
          </w:p>
        </w:tc>
        <w:tc>
          <w:tcPr>
            <w:tcW w:type="dxa" w:w="1440"/>
            <w:vAlign w:val="center"/>
          </w:tcPr>
          <w:p>
            <w:pPr>
              <w:spacing w:after="0"/>
            </w:pPr>
            <w:r/>
            <w:r>
              <w:rPr>
                <w:b w:val="0"/>
                <w:sz w:val="13"/>
              </w:rPr>
              <w:t>156/216</w:t>
            </w:r>
          </w:p>
        </w:tc>
        <w:tc>
          <w:tcPr>
            <w:tcW w:type="dxa" w:w="1440"/>
            <w:vAlign w:val="center"/>
          </w:tcPr>
          <w:p>
            <w:pPr>
              <w:spacing w:after="0"/>
            </w:pPr>
            <w:r/>
            <w:r>
              <w:rPr>
                <w:b w:val="0"/>
                <w:sz w:val="13"/>
              </w:rPr>
              <w:t>72.2222</w:t>
            </w:r>
          </w:p>
        </w:tc>
        <w:tc>
          <w:tcPr>
            <w:tcW w:type="dxa" w:w="1440"/>
            <w:vAlign w:val="center"/>
          </w:tcPr>
          <w:p>
            <w:pPr>
              <w:spacing w:after="0"/>
            </w:pPr>
            <w:r/>
            <w:r>
              <w:rPr>
                <w:b w:val="0"/>
                <w:sz w:val="13"/>
              </w:rPr>
              <w:t>156/216</w:t>
            </w:r>
          </w:p>
        </w:tc>
        <w:tc>
          <w:tcPr>
            <w:tcW w:type="dxa" w:w="1440"/>
            <w:vAlign w:val="center"/>
          </w:tcPr>
          <w:p>
            <w:pPr>
              <w:spacing w:after="0"/>
            </w:pPr>
            <w:r/>
            <w:r>
              <w:rPr>
                <w:b w:val="0"/>
                <w:sz w:val="13"/>
              </w:rPr>
              <w:t>72.2222</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Disruption</w:t>
            </w:r>
          </w:p>
        </w:tc>
        <w:tc>
          <w:tcPr>
            <w:tcW w:type="dxa" w:w="1440"/>
            <w:vAlign w:val="center"/>
          </w:tcPr>
          <w:p>
            <w:pPr>
              <w:spacing w:after="0"/>
            </w:pPr>
            <w:r/>
            <w:r>
              <w:rPr>
                <w:b w:val="0"/>
                <w:sz w:val="13"/>
              </w:rPr>
              <w:t>A3 stale replay</w:t>
            </w:r>
          </w:p>
        </w:tc>
        <w:tc>
          <w:tcPr>
            <w:tcW w:type="dxa" w:w="1440"/>
            <w:vAlign w:val="center"/>
          </w:tcPr>
          <w:p>
            <w:pPr>
              <w:spacing w:after="0"/>
            </w:pPr>
            <w:r/>
            <w:r>
              <w:rPr>
                <w:b w:val="0"/>
                <w:sz w:val="13"/>
              </w:rPr>
              <w:t>156/216</w:t>
            </w:r>
          </w:p>
        </w:tc>
        <w:tc>
          <w:tcPr>
            <w:tcW w:type="dxa" w:w="1440"/>
            <w:vAlign w:val="center"/>
          </w:tcPr>
          <w:p>
            <w:pPr>
              <w:spacing w:after="0"/>
            </w:pPr>
            <w:r/>
            <w:r>
              <w:rPr>
                <w:b w:val="0"/>
                <w:sz w:val="13"/>
              </w:rPr>
              <w:t>72.2222</w:t>
            </w:r>
          </w:p>
        </w:tc>
        <w:tc>
          <w:tcPr>
            <w:tcW w:type="dxa" w:w="1440"/>
            <w:vAlign w:val="center"/>
          </w:tcPr>
          <w:p>
            <w:pPr>
              <w:spacing w:after="0"/>
            </w:pPr>
            <w:r/>
            <w:r>
              <w:rPr>
                <w:b w:val="0"/>
                <w:sz w:val="13"/>
              </w:rPr>
              <w:t>156/216</w:t>
            </w:r>
          </w:p>
        </w:tc>
        <w:tc>
          <w:tcPr>
            <w:tcW w:type="dxa" w:w="1440"/>
            <w:vAlign w:val="center"/>
          </w:tcPr>
          <w:p>
            <w:pPr>
              <w:spacing w:after="0"/>
            </w:pPr>
            <w:r/>
            <w:r>
              <w:rPr>
                <w:b w:val="0"/>
                <w:sz w:val="13"/>
              </w:rPr>
              <w:t>72.2222</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Deadline</w:t>
            </w:r>
          </w:p>
        </w:tc>
        <w:tc>
          <w:tcPr>
            <w:tcW w:type="dxa" w:w="1440"/>
            <w:vAlign w:val="center"/>
          </w:tcPr>
          <w:p>
            <w:pPr>
              <w:spacing w:after="0"/>
            </w:pPr>
            <w:r/>
            <w:r>
              <w:rPr>
                <w:b w:val="0"/>
                <w:sz w:val="13"/>
              </w:rPr>
              <w:t>D12</w:t>
            </w:r>
          </w:p>
        </w:tc>
        <w:tc>
          <w:tcPr>
            <w:tcW w:type="dxa" w:w="1440"/>
            <w:vAlign w:val="center"/>
          </w:tcPr>
          <w:p>
            <w:pPr>
              <w:spacing w:after="0"/>
            </w:pPr>
            <w:r/>
            <w:r>
              <w:rPr>
                <w:b w:val="0"/>
                <w:sz w:val="13"/>
              </w:rPr>
              <w:t>94/288</w:t>
            </w:r>
          </w:p>
        </w:tc>
        <w:tc>
          <w:tcPr>
            <w:tcW w:type="dxa" w:w="1440"/>
            <w:vAlign w:val="center"/>
          </w:tcPr>
          <w:p>
            <w:pPr>
              <w:spacing w:after="0"/>
            </w:pPr>
            <w:r/>
            <w:r>
              <w:rPr>
                <w:b w:val="0"/>
                <w:sz w:val="13"/>
              </w:rPr>
              <w:t>32.6389</w:t>
            </w:r>
          </w:p>
        </w:tc>
        <w:tc>
          <w:tcPr>
            <w:tcW w:type="dxa" w:w="1440"/>
            <w:vAlign w:val="center"/>
          </w:tcPr>
          <w:p>
            <w:pPr>
              <w:spacing w:after="0"/>
            </w:pPr>
            <w:r/>
            <w:r>
              <w:rPr>
                <w:b w:val="0"/>
                <w:sz w:val="13"/>
              </w:rPr>
              <w:t>94/288</w:t>
            </w:r>
          </w:p>
        </w:tc>
        <w:tc>
          <w:tcPr>
            <w:tcW w:type="dxa" w:w="1440"/>
            <w:vAlign w:val="center"/>
          </w:tcPr>
          <w:p>
            <w:pPr>
              <w:spacing w:after="0"/>
            </w:pPr>
            <w:r/>
            <w:r>
              <w:rPr>
                <w:b w:val="0"/>
                <w:sz w:val="13"/>
              </w:rPr>
              <w:t>32.6389</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Deadline</w:t>
            </w:r>
          </w:p>
        </w:tc>
        <w:tc>
          <w:tcPr>
            <w:tcW w:type="dxa" w:w="1440"/>
            <w:vAlign w:val="center"/>
          </w:tcPr>
          <w:p>
            <w:pPr>
              <w:spacing w:after="0"/>
            </w:pPr>
            <w:r/>
            <w:r>
              <w:rPr>
                <w:b w:val="0"/>
                <w:sz w:val="13"/>
              </w:rPr>
              <w:t>D24</w:t>
            </w:r>
          </w:p>
        </w:tc>
        <w:tc>
          <w:tcPr>
            <w:tcW w:type="dxa" w:w="1440"/>
            <w:vAlign w:val="center"/>
          </w:tcPr>
          <w:p>
            <w:pPr>
              <w:spacing w:after="0"/>
            </w:pPr>
            <w:r/>
            <w:r>
              <w:rPr>
                <w:b w:val="0"/>
                <w:sz w:val="13"/>
              </w:rPr>
              <w:t>253/288</w:t>
            </w:r>
          </w:p>
        </w:tc>
        <w:tc>
          <w:tcPr>
            <w:tcW w:type="dxa" w:w="1440"/>
            <w:vAlign w:val="center"/>
          </w:tcPr>
          <w:p>
            <w:pPr>
              <w:spacing w:after="0"/>
            </w:pPr>
            <w:r/>
            <w:r>
              <w:rPr>
                <w:b w:val="0"/>
                <w:sz w:val="13"/>
              </w:rPr>
              <w:t>87.8472</w:t>
            </w:r>
          </w:p>
        </w:tc>
        <w:tc>
          <w:tcPr>
            <w:tcW w:type="dxa" w:w="1440"/>
            <w:vAlign w:val="center"/>
          </w:tcPr>
          <w:p>
            <w:pPr>
              <w:spacing w:after="0"/>
            </w:pPr>
            <w:r/>
            <w:r>
              <w:rPr>
                <w:b w:val="0"/>
                <w:sz w:val="13"/>
              </w:rPr>
              <w:t>253/288</w:t>
            </w:r>
          </w:p>
        </w:tc>
        <w:tc>
          <w:tcPr>
            <w:tcW w:type="dxa" w:w="1440"/>
            <w:vAlign w:val="center"/>
          </w:tcPr>
          <w:p>
            <w:pPr>
              <w:spacing w:after="0"/>
            </w:pPr>
            <w:r/>
            <w:r>
              <w:rPr>
                <w:b w:val="0"/>
                <w:sz w:val="13"/>
              </w:rPr>
              <w:t>87.8472</w:t>
            </w:r>
          </w:p>
        </w:tc>
        <w:tc>
          <w:tcPr>
            <w:tcW w:type="dxa" w:w="1440"/>
            <w:vAlign w:val="center"/>
          </w:tcPr>
          <w:p>
            <w:pPr>
              <w:spacing w:after="0"/>
            </w:pPr>
            <w:r/>
            <w:r>
              <w:rPr>
                <w:b w:val="0"/>
                <w:sz w:val="13"/>
              </w:rPr>
              <w:t>0.000000</w:t>
            </w:r>
          </w:p>
        </w:tc>
      </w:tr>
      <w:tr>
        <w:trPr>
          <w:cantSplit/>
        </w:trPr>
        <w:tc>
          <w:tcPr>
            <w:tcW w:type="dxa" w:w="1440"/>
            <w:vAlign w:val="center"/>
          </w:tcPr>
          <w:p>
            <w:pPr>
              <w:spacing w:after="0"/>
            </w:pPr>
            <w:r/>
            <w:r>
              <w:rPr>
                <w:b w:val="0"/>
                <w:sz w:val="13"/>
              </w:rPr>
              <w:t>Deadline</w:t>
            </w:r>
          </w:p>
        </w:tc>
        <w:tc>
          <w:tcPr>
            <w:tcW w:type="dxa" w:w="1440"/>
            <w:vAlign w:val="center"/>
          </w:tcPr>
          <w:p>
            <w:pPr>
              <w:spacing w:after="0"/>
            </w:pPr>
            <w:r/>
            <w:r>
              <w:rPr>
                <w:b w:val="0"/>
                <w:sz w:val="13"/>
              </w:rPr>
              <w:t>D48</w:t>
            </w:r>
          </w:p>
        </w:tc>
        <w:tc>
          <w:tcPr>
            <w:tcW w:type="dxa" w:w="1440"/>
            <w:vAlign w:val="center"/>
          </w:tcPr>
          <w:p>
            <w:pPr>
              <w:spacing w:after="0"/>
            </w:pPr>
            <w:r/>
            <w:r>
              <w:rPr>
                <w:b w:val="0"/>
                <w:sz w:val="13"/>
              </w:rPr>
              <w:t>288/288</w:t>
            </w:r>
          </w:p>
        </w:tc>
        <w:tc>
          <w:tcPr>
            <w:tcW w:type="dxa" w:w="1440"/>
            <w:vAlign w:val="center"/>
          </w:tcPr>
          <w:p>
            <w:pPr>
              <w:spacing w:after="0"/>
            </w:pPr>
            <w:r/>
            <w:r>
              <w:rPr>
                <w:b w:val="0"/>
                <w:sz w:val="13"/>
              </w:rPr>
              <w:t>100.0000</w:t>
            </w:r>
          </w:p>
        </w:tc>
        <w:tc>
          <w:tcPr>
            <w:tcW w:type="dxa" w:w="1440"/>
            <w:vAlign w:val="center"/>
          </w:tcPr>
          <w:p>
            <w:pPr>
              <w:spacing w:after="0"/>
            </w:pPr>
            <w:r/>
            <w:r>
              <w:rPr>
                <w:b w:val="0"/>
                <w:sz w:val="13"/>
              </w:rPr>
              <w:t>288/288</w:t>
            </w:r>
          </w:p>
        </w:tc>
        <w:tc>
          <w:tcPr>
            <w:tcW w:type="dxa" w:w="1440"/>
            <w:vAlign w:val="center"/>
          </w:tcPr>
          <w:p>
            <w:pPr>
              <w:spacing w:after="0"/>
            </w:pPr>
            <w:r/>
            <w:r>
              <w:rPr>
                <w:b w:val="0"/>
                <w:sz w:val="13"/>
              </w:rPr>
              <w:t>100.0000</w:t>
            </w:r>
          </w:p>
        </w:tc>
        <w:tc>
          <w:tcPr>
            <w:tcW w:type="dxa" w:w="1440"/>
            <w:vAlign w:val="center"/>
          </w:tcPr>
          <w:p>
            <w:pPr>
              <w:spacing w:after="0"/>
            </w:pPr>
            <w:r/>
            <w:r>
              <w:rPr>
                <w:b w:val="0"/>
                <w:sz w:val="13"/>
              </w:rPr>
              <w:t>0.000000</w:t>
            </w:r>
          </w:p>
        </w:tc>
      </w:tr>
    </w:tbl>
    <w:p>
      <w:r>
        <w:rPr>
          <w:b/>
        </w:rPr>
        <w:t>Figure 1. Trusted recovery by standardized cryptographic-object profile. Percentages are over 1,152 positions per profile. Separate vector artwork is supplied as FIGURE_1_PROFILE_SUCCESS.pdf.</w:t>
      </w:r>
    </w:p>
    <w:p>
      <w:r>
        <w:t>[Figure 1 approximately here]</w:t>
      </w:r>
    </w:p>
    <w:p>
      <w:r>
        <w:rPr>
          <w:b/>
        </w:rPr>
        <w:t>Figure 2. Trusted recovery by logical contact regime for P1/P3. Each regime denominator is 216 positions per policy. Separate vector artwork is supplied as FIGURE_2_CONTACT_REGIME_SUCCESS.pdf.</w:t>
      </w:r>
    </w:p>
    <w:p>
      <w:r>
        <w:t>[Figure 2 approximately here]</w:t>
      </w:r>
    </w:p>
    <w:p>
      <w:r>
        <w:rPr>
          <w:b/>
        </w:rPr>
        <w:t>Table 4. Policy-state and resource tradeoffs across 864 positions per policy.</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val="true"/>
        </w:trPr>
        <w:tc>
          <w:tcPr>
            <w:tcW w:type="dxa" w:w="1120"/>
            <w:vAlign w:val="center"/>
            <w:shd w:fill="E7E6E6"/>
          </w:tcPr>
          <w:p>
            <w:pPr>
              <w:spacing w:after="0"/>
            </w:pPr>
            <w:r/>
            <w:r>
              <w:rPr>
                <w:b/>
                <w:sz w:val="13"/>
              </w:rPr>
              <w:t>Policy</w:t>
            </w:r>
          </w:p>
        </w:tc>
        <w:tc>
          <w:tcPr>
            <w:tcW w:type="dxa" w:w="1120"/>
            <w:vAlign w:val="center"/>
            <w:shd w:fill="E7E6E6"/>
          </w:tcPr>
          <w:p>
            <w:pPr>
              <w:spacing w:after="0"/>
            </w:pPr>
            <w:r/>
            <w:r>
              <w:rPr>
                <w:b/>
                <w:sz w:val="13"/>
              </w:rPr>
              <w:t>Success %</w:t>
            </w:r>
          </w:p>
        </w:tc>
        <w:tc>
          <w:tcPr>
            <w:tcW w:type="dxa" w:w="1120"/>
            <w:vAlign w:val="center"/>
            <w:shd w:fill="E7E6E6"/>
          </w:tcPr>
          <w:p>
            <w:pPr>
              <w:spacing w:after="0"/>
            </w:pPr>
            <w:r/>
            <w:r>
              <w:rPr>
                <w:b/>
                <w:sz w:val="13"/>
              </w:rPr>
              <w:t>Mean contacts</w:t>
            </w:r>
          </w:p>
        </w:tc>
        <w:tc>
          <w:tcPr>
            <w:tcW w:type="dxa" w:w="1120"/>
            <w:vAlign w:val="center"/>
            <w:shd w:fill="E7E6E6"/>
          </w:tcPr>
          <w:p>
            <w:pPr>
              <w:spacing w:after="0"/>
            </w:pPr>
            <w:r/>
            <w:r>
              <w:rPr>
                <w:b/>
                <w:sz w:val="13"/>
              </w:rPr>
              <w:t>Mean modeled bytes</w:t>
            </w:r>
          </w:p>
        </w:tc>
        <w:tc>
          <w:tcPr>
            <w:tcW w:type="dxa" w:w="1120"/>
            <w:vAlign w:val="center"/>
            <w:shd w:fill="E7E6E6"/>
          </w:tcPr>
          <w:p>
            <w:pPr>
              <w:spacing w:after="0"/>
            </w:pPr>
            <w:r/>
            <w:r>
              <w:rPr>
                <w:b/>
                <w:sz w:val="13"/>
              </w:rPr>
              <w:t>Mean attempts</w:t>
            </w:r>
          </w:p>
        </w:tc>
        <w:tc>
          <w:tcPr>
            <w:tcW w:type="dxa" w:w="1120"/>
            <w:vAlign w:val="center"/>
            <w:shd w:fill="E7E6E6"/>
          </w:tcPr>
          <w:p>
            <w:pPr>
              <w:spacing w:after="0"/>
            </w:pPr>
            <w:r/>
            <w:r>
              <w:rPr>
                <w:b/>
                <w:sz w:val="13"/>
              </w:rPr>
              <w:t>Mean predecessor exposure</w:t>
            </w:r>
          </w:p>
        </w:tc>
        <w:tc>
          <w:tcPr>
            <w:tcW w:type="dxa" w:w="1120"/>
            <w:vAlign w:val="center"/>
            <w:shd w:fill="E7E6E6"/>
          </w:tcPr>
          <w:p>
            <w:pPr>
              <w:spacing w:after="0"/>
            </w:pPr>
            <w:r/>
            <w:r>
              <w:rPr>
                <w:b/>
                <w:sz w:val="13"/>
              </w:rPr>
              <w:t>Mean control unavailable</w:t>
            </w:r>
          </w:p>
        </w:tc>
        <w:tc>
          <w:tcPr>
            <w:tcW w:type="dxa" w:w="1120"/>
            <w:vAlign w:val="center"/>
            <w:shd w:fill="E7E6E6"/>
          </w:tcPr>
          <w:p>
            <w:pPr>
              <w:spacing w:after="0"/>
            </w:pPr>
            <w:r/>
            <w:r>
              <w:rPr>
                <w:b/>
                <w:sz w:val="13"/>
              </w:rPr>
              <w:t>Mean overlap</w:t>
            </w:r>
          </w:p>
        </w:tc>
        <w:tc>
          <w:tcPr>
            <w:tcW w:type="dxa" w:w="1120"/>
            <w:vAlign w:val="center"/>
            <w:shd w:fill="E7E6E6"/>
          </w:tcPr>
          <w:p>
            <w:pPr>
              <w:spacing w:after="0"/>
            </w:pPr>
            <w:r/>
            <w:r>
              <w:rPr>
                <w:b/>
                <w:sz w:val="13"/>
              </w:rPr>
              <w:t>Terminal failures</w:t>
            </w:r>
          </w:p>
        </w:tc>
      </w:tr>
      <w:tr>
        <w:trPr>
          <w:cantSplit/>
        </w:trPr>
        <w:tc>
          <w:tcPr>
            <w:tcW w:type="dxa" w:w="1120"/>
            <w:vAlign w:val="center"/>
          </w:tcPr>
          <w:p>
            <w:pPr>
              <w:spacing w:after="0"/>
            </w:pPr>
            <w:r/>
            <w:r>
              <w:rPr>
                <w:b w:val="0"/>
                <w:sz w:val="13"/>
              </w:rPr>
              <w:t>P0</w:t>
            </w:r>
          </w:p>
        </w:tc>
        <w:tc>
          <w:tcPr>
            <w:tcW w:type="dxa" w:w="1120"/>
            <w:vAlign w:val="center"/>
          </w:tcPr>
          <w:p>
            <w:pPr>
              <w:spacing w:after="0"/>
            </w:pPr>
            <w:r/>
            <w:r>
              <w:rPr>
                <w:b w:val="0"/>
                <w:sz w:val="13"/>
              </w:rPr>
              <w:t>73.4954</w:t>
            </w:r>
          </w:p>
        </w:tc>
        <w:tc>
          <w:tcPr>
            <w:tcW w:type="dxa" w:w="1120"/>
            <w:vAlign w:val="center"/>
          </w:tcPr>
          <w:p>
            <w:pPr>
              <w:spacing w:after="0"/>
            </w:pPr>
            <w:r/>
            <w:r>
              <w:rPr>
                <w:b w:val="0"/>
                <w:sz w:val="13"/>
              </w:rPr>
              <w:t>2.864583</w:t>
            </w:r>
          </w:p>
        </w:tc>
        <w:tc>
          <w:tcPr>
            <w:tcW w:type="dxa" w:w="1120"/>
            <w:vAlign w:val="center"/>
          </w:tcPr>
          <w:p>
            <w:pPr>
              <w:spacing w:after="0"/>
            </w:pPr>
            <w:r/>
            <w:r>
              <w:rPr>
                <w:b w:val="0"/>
                <w:sz w:val="13"/>
              </w:rPr>
              <w:t>16985.531250</w:t>
            </w:r>
          </w:p>
        </w:tc>
        <w:tc>
          <w:tcPr>
            <w:tcW w:type="dxa" w:w="1120"/>
            <w:vAlign w:val="center"/>
          </w:tcPr>
          <w:p>
            <w:pPr>
              <w:spacing w:after="0"/>
            </w:pPr>
            <w:r/>
            <w:r>
              <w:rPr>
                <w:b w:val="0"/>
                <w:sz w:val="13"/>
              </w:rPr>
              <w:t>1.040509</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12.195602</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ED=52; IMT=177</w:t>
            </w:r>
          </w:p>
        </w:tc>
      </w:tr>
      <w:tr>
        <w:trPr>
          <w:cantSplit/>
        </w:trPr>
        <w:tc>
          <w:tcPr>
            <w:tcW w:type="dxa" w:w="1120"/>
            <w:vAlign w:val="center"/>
          </w:tcPr>
          <w:p>
            <w:pPr>
              <w:spacing w:after="0"/>
            </w:pPr>
            <w:r/>
            <w:r>
              <w:rPr>
                <w:b w:val="0"/>
                <w:sz w:val="13"/>
              </w:rPr>
              <w:t>P1</w:t>
            </w:r>
          </w:p>
        </w:tc>
        <w:tc>
          <w:tcPr>
            <w:tcW w:type="dxa" w:w="1120"/>
            <w:vAlign w:val="center"/>
          </w:tcPr>
          <w:p>
            <w:pPr>
              <w:spacing w:after="0"/>
            </w:pPr>
            <w:r/>
            <w:r>
              <w:rPr>
                <w:b w:val="0"/>
                <w:sz w:val="13"/>
              </w:rPr>
              <w:t>73.4954</w:t>
            </w:r>
          </w:p>
        </w:tc>
        <w:tc>
          <w:tcPr>
            <w:tcW w:type="dxa" w:w="1120"/>
            <w:vAlign w:val="center"/>
          </w:tcPr>
          <w:p>
            <w:pPr>
              <w:spacing w:after="0"/>
            </w:pPr>
            <w:r/>
            <w:r>
              <w:rPr>
                <w:b w:val="0"/>
                <w:sz w:val="13"/>
              </w:rPr>
              <w:t>2.864583</w:t>
            </w:r>
          </w:p>
        </w:tc>
        <w:tc>
          <w:tcPr>
            <w:tcW w:type="dxa" w:w="1120"/>
            <w:vAlign w:val="center"/>
          </w:tcPr>
          <w:p>
            <w:pPr>
              <w:spacing w:after="0"/>
            </w:pPr>
            <w:r/>
            <w:r>
              <w:rPr>
                <w:b w:val="0"/>
                <w:sz w:val="13"/>
              </w:rPr>
              <w:t>16985.531250</w:t>
            </w:r>
          </w:p>
        </w:tc>
        <w:tc>
          <w:tcPr>
            <w:tcW w:type="dxa" w:w="1120"/>
            <w:vAlign w:val="center"/>
          </w:tcPr>
          <w:p>
            <w:pPr>
              <w:spacing w:after="0"/>
            </w:pPr>
            <w:r/>
            <w:r>
              <w:rPr>
                <w:b w:val="0"/>
                <w:sz w:val="13"/>
              </w:rPr>
              <w:t>1.040509</w:t>
            </w:r>
          </w:p>
        </w:tc>
        <w:tc>
          <w:tcPr>
            <w:tcW w:type="dxa" w:w="1120"/>
            <w:vAlign w:val="center"/>
          </w:tcPr>
          <w:p>
            <w:pPr>
              <w:spacing w:after="0"/>
            </w:pPr>
            <w:r/>
            <w:r>
              <w:rPr>
                <w:b w:val="0"/>
                <w:sz w:val="13"/>
              </w:rPr>
              <w:t>12.195602</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ED=52; IMT=177</w:t>
            </w:r>
          </w:p>
        </w:tc>
      </w:tr>
      <w:tr>
        <w:trPr>
          <w:cantSplit/>
        </w:trPr>
        <w:tc>
          <w:tcPr>
            <w:tcW w:type="dxa" w:w="1120"/>
            <w:vAlign w:val="center"/>
          </w:tcPr>
          <w:p>
            <w:pPr>
              <w:spacing w:after="0"/>
            </w:pPr>
            <w:r/>
            <w:r>
              <w:rPr>
                <w:b w:val="0"/>
                <w:sz w:val="13"/>
              </w:rPr>
              <w:t>P2</w:t>
            </w:r>
          </w:p>
        </w:tc>
        <w:tc>
          <w:tcPr>
            <w:tcW w:type="dxa" w:w="1120"/>
            <w:vAlign w:val="center"/>
          </w:tcPr>
          <w:p>
            <w:pPr>
              <w:spacing w:after="0"/>
            </w:pPr>
            <w:r/>
            <w:r>
              <w:rPr>
                <w:b w:val="0"/>
                <w:sz w:val="13"/>
              </w:rPr>
              <w:t>73.4954</w:t>
            </w:r>
          </w:p>
        </w:tc>
        <w:tc>
          <w:tcPr>
            <w:tcW w:type="dxa" w:w="1120"/>
            <w:vAlign w:val="center"/>
          </w:tcPr>
          <w:p>
            <w:pPr>
              <w:spacing w:after="0"/>
            </w:pPr>
            <w:r/>
            <w:r>
              <w:rPr>
                <w:b w:val="0"/>
                <w:sz w:val="13"/>
              </w:rPr>
              <w:t>2.864583</w:t>
            </w:r>
          </w:p>
        </w:tc>
        <w:tc>
          <w:tcPr>
            <w:tcW w:type="dxa" w:w="1120"/>
            <w:vAlign w:val="center"/>
          </w:tcPr>
          <w:p>
            <w:pPr>
              <w:spacing w:after="0"/>
            </w:pPr>
            <w:r/>
            <w:r>
              <w:rPr>
                <w:b w:val="0"/>
                <w:sz w:val="13"/>
              </w:rPr>
              <w:t>16985.531250</w:t>
            </w:r>
          </w:p>
        </w:tc>
        <w:tc>
          <w:tcPr>
            <w:tcW w:type="dxa" w:w="1120"/>
            <w:vAlign w:val="center"/>
          </w:tcPr>
          <w:p>
            <w:pPr>
              <w:spacing w:after="0"/>
            </w:pPr>
            <w:r/>
            <w:r>
              <w:rPr>
                <w:b w:val="0"/>
                <w:sz w:val="13"/>
              </w:rPr>
              <w:t>1.040509</w:t>
            </w:r>
          </w:p>
        </w:tc>
        <w:tc>
          <w:tcPr>
            <w:tcW w:type="dxa" w:w="1120"/>
            <w:vAlign w:val="center"/>
          </w:tcPr>
          <w:p>
            <w:pPr>
              <w:spacing w:after="0"/>
            </w:pPr>
            <w:r/>
            <w:r>
              <w:rPr>
                <w:b w:val="0"/>
                <w:sz w:val="13"/>
              </w:rPr>
              <w:t>12.195602</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3.403935</w:t>
            </w:r>
          </w:p>
        </w:tc>
        <w:tc>
          <w:tcPr>
            <w:tcW w:type="dxa" w:w="1120"/>
            <w:vAlign w:val="center"/>
          </w:tcPr>
          <w:p>
            <w:pPr>
              <w:spacing w:after="0"/>
            </w:pPr>
            <w:r/>
            <w:r>
              <w:rPr>
                <w:b w:val="0"/>
                <w:sz w:val="13"/>
              </w:rPr>
              <w:t>ED=52; IMT=177</w:t>
            </w:r>
          </w:p>
        </w:tc>
      </w:tr>
      <w:tr>
        <w:trPr>
          <w:cantSplit/>
        </w:trPr>
        <w:tc>
          <w:tcPr>
            <w:tcW w:type="dxa" w:w="1120"/>
            <w:vAlign w:val="center"/>
          </w:tcPr>
          <w:p>
            <w:pPr>
              <w:spacing w:after="0"/>
            </w:pPr>
            <w:r/>
            <w:r>
              <w:rPr>
                <w:b w:val="0"/>
                <w:sz w:val="13"/>
              </w:rPr>
              <w:t>P3</w:t>
            </w:r>
          </w:p>
        </w:tc>
        <w:tc>
          <w:tcPr>
            <w:tcW w:type="dxa" w:w="1120"/>
            <w:vAlign w:val="center"/>
          </w:tcPr>
          <w:p>
            <w:pPr>
              <w:spacing w:after="0"/>
            </w:pPr>
            <w:r/>
            <w:r>
              <w:rPr>
                <w:b w:val="0"/>
                <w:sz w:val="13"/>
              </w:rPr>
              <w:t>73.4954</w:t>
            </w:r>
          </w:p>
        </w:tc>
        <w:tc>
          <w:tcPr>
            <w:tcW w:type="dxa" w:w="1120"/>
            <w:vAlign w:val="center"/>
          </w:tcPr>
          <w:p>
            <w:pPr>
              <w:spacing w:after="0"/>
            </w:pPr>
            <w:r/>
            <w:r>
              <w:rPr>
                <w:b w:val="0"/>
                <w:sz w:val="13"/>
              </w:rPr>
              <w:t>2.843750</w:t>
            </w:r>
          </w:p>
        </w:tc>
        <w:tc>
          <w:tcPr>
            <w:tcW w:type="dxa" w:w="1120"/>
            <w:vAlign w:val="center"/>
          </w:tcPr>
          <w:p>
            <w:pPr>
              <w:spacing w:after="0"/>
            </w:pPr>
            <w:r/>
            <w:r>
              <w:rPr>
                <w:b w:val="0"/>
                <w:sz w:val="13"/>
              </w:rPr>
              <w:t>16551.819444</w:t>
            </w:r>
          </w:p>
        </w:tc>
        <w:tc>
          <w:tcPr>
            <w:tcW w:type="dxa" w:w="1120"/>
            <w:vAlign w:val="center"/>
          </w:tcPr>
          <w:p>
            <w:pPr>
              <w:spacing w:after="0"/>
            </w:pPr>
            <w:r/>
            <w:r>
              <w:rPr>
                <w:b w:val="0"/>
                <w:sz w:val="13"/>
              </w:rPr>
              <w:t>0.923611</w:t>
            </w:r>
          </w:p>
        </w:tc>
        <w:tc>
          <w:tcPr>
            <w:tcW w:type="dxa" w:w="1120"/>
            <w:vAlign w:val="center"/>
          </w:tcPr>
          <w:p>
            <w:pPr>
              <w:spacing w:after="0"/>
            </w:pPr>
            <w:r/>
            <w:r>
              <w:rPr>
                <w:b w:val="0"/>
                <w:sz w:val="13"/>
              </w:rPr>
              <w:t>12.497685</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0.000000</w:t>
            </w:r>
          </w:p>
        </w:tc>
        <w:tc>
          <w:tcPr>
            <w:tcW w:type="dxa" w:w="1120"/>
            <w:vAlign w:val="center"/>
          </w:tcPr>
          <w:p>
            <w:pPr>
              <w:spacing w:after="0"/>
            </w:pPr>
            <w:r/>
            <w:r>
              <w:rPr>
                <w:b w:val="0"/>
                <w:sz w:val="13"/>
              </w:rPr>
              <w:t>CBE=148; IMT=81</w:t>
            </w:r>
          </w:p>
        </w:tc>
      </w:tr>
    </w:tbl>
    <w:p>
      <w:r>
        <w:rPr>
          <w:i/>
          <w:sz w:val="15"/>
        </w:rPr>
        <w:t>Table 4 note: ED = EPOCH_DIVERGENCE; IMT = INSUFFICIENT_MATERIAL_TRANSFER; CBE = CONTACT_BUDGET_EXHAUSTED.</w:t>
      </w:r>
    </w:p>
    <w:p>
      <w:pPr>
        <w:pStyle w:val="Heading1"/>
      </w:pPr>
      <w:r>
        <w:t>5. Discussion</w:t>
      </w:r>
    </w:p>
    <w:p>
      <w:pPr>
        <w:keepLines w:val="0"/>
      </w:pPr>
      <w:r>
        <w:t>The central negative result is exact: P3's contact-aware pre-commit guard did not improve trusted-recovery success over P1 staged cutover, either marginally or in any prespecified stratum. This result should not be reframed as a hidden policy advantage. P3 can decide not to commit when nominal remaining contact capacity is insufficient for commit and confirmation, but it cannot create new contact opportunities or reduce the required successor cryptographic-object bundle. In the frozen model, the guard therefore changes when resources are consumed and how failures are classified rather than enlarging the feasible set of successful positions.</w:t>
      </w:r>
    </w:p>
    <w:p>
      <w:pPr>
        <w:keepLines w:val="0"/>
      </w:pPr>
      <w:r>
        <w:t>The broader policy equivalence is consistent with the design. P0, P1, and P2 use the same required object bundle and common byte scheduler; their primary treatment differences concern predecessor/successor acceptance state. P2's overlap endpoint makes that state difference observable, but no policy-specific byte advantage is introduced. The null primary result is consequently a model-specific finding about these four mechanisms, not evidence that cryptographic transition policy is generally irrelevant.</w:t>
      </w:r>
    </w:p>
    <w:p>
      <w:pPr>
        <w:keepLines w:val="0"/>
      </w:pPr>
      <w:r>
        <w:t>The profile result is the strongest quantitative pattern in the study. Moving from the 12,560-byte base transition bundle to 17,460 and 24,236 bytes corresponded to large reductions in finite-population success. More importantly, all 1,152 matched non-profile positions followed a non-increasing success ordering as object budget increased. The correct interpretation is narrow but useful for design reasoning: if a recovery protocol must move a fixed set of cryptographic objects through finite intermittent opportunities, larger standardized objects can eliminate deadline-feasible positions even when cryptographic execution itself is not modeled. This complements prior NTN/PQC work identifying bandwidth and handshake-size pressure [5,11], while avoiding claims about CPU time, energy, certificate size, or real radio performance that this study did not measure. The result does not recommend weaker cryptography; the study does not compare security strength, threat adequacy, or implementation security among the three algorithm pairs.</w:t>
      </w:r>
    </w:p>
    <w:p>
      <w:pPr>
        <w:keepLines w:val="0"/>
      </w:pPr>
      <w:r>
        <w:t>The four contact regimes were normalized to the same 65,536 nominal bytes over the full 48-slot cycle. Their different success proportions show that equal complete-cycle total capacity does not erase differences created by how capacity is partitioned among contacts and placed across logical slots. This supports treating contact timing as an explicit input to cryptographic recovery planning rather than relying only on total expected capacity. The model stops short of orbital realism: contact slots are synthetic one-slot windows; there is no line-of-sight geometry, propagation, scheduling contention, fading, coding, or physical contact duration.</w:t>
      </w:r>
    </w:p>
    <w:p>
      <w:pPr>
        <w:keepLines w:val="0"/>
      </w:pPr>
      <w:r>
        <w:t>The null primary outcome does not make the policies equivalent. P0 minimizes modeled predecessor exposure by immediately revoking the predecessor, but pays in modeled control unavailability. P1 preserves availability while accepting predecessor state through staging. P2 adds bounded dual-epoch overlap. P3 retains P1's availability semantics while using slightly fewer modeled contacts, bytes, and attempts at the cost of somewhat longer predecessor exposure and a different failure classification profile. This separation between feasibility and state cost is the main policy-design implication. A recovery policy can be valuable because of the state it exposes or avoids even when it does not change the final fraction of successful positions.</w:t>
      </w:r>
    </w:p>
    <w:p>
      <w:pPr>
        <w:keepLines w:val="0"/>
      </w:pPr>
      <w:r>
        <w:t>Four bounded engineering implications follow. First, cryptographic migration planning should include the byte structure of the recovery transition itself, not only steady-state algorithm selection. Second, deadline-sensitive recovery should model the temporal availability of contact capacity rather than only aggregate capacity. Third, policy evaluation should include intermediate acceptance-state metrics such as predecessor exposure, control unavailability, and overlap. Fourth, contact-aware guards should be evaluated for what they actually control: they can reduce modeled resource consumption or reclassify infeasible attempts without necessarily increasing the feasible success set. These implications are consistent with current systems-oriented space cybersecurity activity [6,9,10], but should not be interpreted as evidence that the modeled protocol satisfies any particular mission, regulator, CCSDS profile, or hardware platform.</w:t>
      </w:r>
    </w:p>
    <w:p>
      <w:pPr>
        <w:pStyle w:val="Heading1"/>
      </w:pPr>
      <w:r>
        <w:t>6. Limitations and Threats to Validity</w:t>
      </w:r>
    </w:p>
    <w:p>
      <w:pPr>
        <w:keepLines w:val="0"/>
      </w:pPr>
      <w:r>
        <w:t>The study intentionally isolates one part of a larger engineering problem. Its main limitations are structural rather than incidental.</w:t>
      </w:r>
    </w:p>
    <w:p>
      <w:pPr>
        <w:keepLines w:val="0"/>
      </w:pPr>
      <w:r>
        <w:t>Logical rather than physical time. Slots are ordering indices with no conversion to seconds, milliseconds, orbital periods, propagation time, or real contact duration. Recovery completion and exposure quantities are logical-state summaries only.</w:t>
      </w:r>
    </w:p>
    <w:p>
      <w:pPr>
        <w:keepLines w:val="0"/>
      </w:pPr>
      <w:r>
        <w:t>Synthetic contact capacity. Contact capacities are modeled cryptographic-byte budgets. The model excludes RF throughput, link margin, BER, packet loss beyond the frozen disruptions, modulation, coding, antenna effects, contention, ground-station processing, and orbital geometry.</w:t>
      </w:r>
    </w:p>
    <w:p>
      <w:pPr>
        <w:keepLines w:val="0"/>
      </w:pPr>
      <w:r>
        <w:t>Cryptographic-object-only accounting. Byte budgets use standardized ML-KEM/ML-DSA objects from FIPS 203/204. They exclude certificate chains, transport headers, CCSDS framing, protocol metadata, coding overhead, and implementation-specific encodings. The four logical signature objects are an experimental transition abstraction, not a NIST- or CCSDS-prescribed transition protocol.</w:t>
      </w:r>
    </w:p>
    <w:p>
      <w:pPr>
        <w:keepLines w:val="0"/>
      </w:pPr>
      <w:r>
        <w:t>No cryptographic execution benchmarking. ML-KEM/ML-DSA execution latency, CPU utilization, memory use, accelerator performance, power, energy, thermal behavior, and side-channel behavior are not measured. The profile result must not be reported as algorithm-speed evidence.</w:t>
      </w:r>
    </w:p>
    <w:p>
      <w:pPr>
        <w:keepLines w:val="0"/>
      </w:pPr>
      <w:r>
        <w:t>Restricted adversary. The disruption model is fixed, deterministic, nonadaptive, and non-cryptanalytic. It excludes key recovery, signature forgery, KEM break, quantum cryptanalysis, side channels, fault injection, and adaptive attack scheduling.</w:t>
      </w:r>
    </w:p>
    <w:p>
      <w:pPr>
        <w:keepLines w:val="0"/>
      </w:pPr>
      <w:r>
        <w:t>Shared abstract contact budget. Uplink and downlink are not separated. Directional scheduling, acknowledgments, duplex constraints, and real protocol feedback loops are absent.</w:t>
      </w:r>
    </w:p>
    <w:p>
      <w:pPr>
        <w:keepLines w:val="0"/>
      </w:pPr>
      <w:r>
        <w:t>Policy structure. All policies use the same required object bundle and common scheduler. This intentionally isolates acceptance/revocation semantics but may suppress policy differences that would arise if real transition designs used different messages, retransmission behavior, certificate structures, or fallback mechanisms.</w:t>
      </w:r>
    </w:p>
    <w:p>
      <w:pPr>
        <w:keepLines w:val="0"/>
      </w:pPr>
      <w:r>
        <w:t>Structural zeros. stale_epoch_acceptance and rollback_invoked are zero under the frozen lattice. These are invariant checks under the modeled schedules, not evidence that real systems cannot accept stale state or require rollback.</w:t>
      </w:r>
    </w:p>
    <w:p>
      <w:pPr>
        <w:keepLines w:val="0"/>
      </w:pPr>
      <w:r>
        <w:t>Finite-population scope. The 3,456 positions are the entire frozen deterministic study population. Exact contrasts describe that population only. The study does not support sampling-based generalization to arbitrary missions, constellations, contact processes, adversaries, or implementation platforms.</w:t>
      </w:r>
    </w:p>
    <w:p>
      <w:pPr>
        <w:keepLines w:val="0"/>
      </w:pPr>
      <w:r>
        <w:t>Reproduction boundary. The primary and reference implementations were separately written and reproduced all rows exactly, but both reside in the same repository. This is reproducibility evidence, not external-laboratory or independent-human replication.</w:t>
      </w:r>
    </w:p>
    <w:p>
      <w:pPr>
        <w:keepLines w:val="0"/>
      </w:pPr>
      <w:r>
        <w:t>Future work should add physical contact traces, implementation measurements, protocol framing/certificates, directional links, richer recovery mechanisms, and external replication as new studies, rather than altering the frozen Study 8 record.</w:t>
      </w:r>
    </w:p>
    <w:p>
      <w:pPr>
        <w:pStyle w:val="Heading1"/>
      </w:pPr>
      <w:r>
        <w:t>7. Conclusion</w:t>
      </w:r>
    </w:p>
    <w:p>
      <w:pPr>
        <w:keepLines w:val="0"/>
      </w:pPr>
      <w:r>
        <w:t>This study evaluated post-compromise cryptographic transition as a finite systems problem under intermittent logical contact. Across 3,456 frozen factorial positions, the four tested recovery policies achieved exactly the same primary modeled trusted-recovery proportion (635/864, 73.4954%), and the prespecified contact-aware staged-minus-staged difference was zero in every prespecified stratum. The contact-aware guard therefore did not improve primary recovery feasibility in this model.</w:t>
      </w:r>
    </w:p>
    <w:p>
      <w:pPr>
        <w:keepLines w:val="0"/>
      </w:pPr>
      <w:r>
        <w:t>Feasibility instead varied strongly with standardized cryptographic-object burden, contact timing, and deadline. The smallest frozen ML-KEM/ML-DSA transition bundle succeeded in 93.7500% of positions, compared with 64.9306% and 61.8056% for the larger bundles, and success was non-increasing with object budget in all matched positions. Equal full-cycle capacity also produced different success under different temporal contact distributions, while longer logical deadlines expanded the feasible set.</w:t>
      </w:r>
    </w:p>
    <w:p>
      <w:pPr>
        <w:keepLines w:val="0"/>
      </w:pPr>
      <w:r>
        <w:t>Policy choice nevertheless mattered for the path to the terminal state: hard cutover exchanged predecessor exposure for control unavailability; staged cutover preserved availability while retaining predecessor acceptance; hybrid overlap added dual-epoch exposure; and contact-aware staging reduced modeled resource use and changed failure classification while slightly extending predecessor exposure. The main systems lesson is therefore not that one transition policy wins, but that cryptographic recovery should separate whether recovery is feasible from what security-state and availability costs are incurred while attempting it.</w:t>
      </w:r>
    </w:p>
    <w:p>
      <w:pPr>
        <w:keepLines w:val="0"/>
      </w:pPr>
      <w:r>
        <w:t>Within its strict abstraction boundary, the study provides a reproducible basis for that distinction. Extending the result to real spacecraft will require a separate evidence layer incorporating physical contact schedules, protocol framing, onboard cryptographic execution, RF behavior, and mission-specific security requirements.</w:t>
      </w:r>
    </w:p>
    <w:p>
      <w:pPr>
        <w:pStyle w:val="Heading1"/>
      </w:pPr>
      <w:r>
        <w:t>Data, Code, and Reproducibility Statement</w:t>
      </w:r>
    </w:p>
    <w:p>
      <w:pPr>
        <w:keepLines w:val="0"/>
      </w:pPr>
      <w:r>
        <w:t>Data and code supporting this study are available in the public repository at https://github.com/Zartharas/mission-aware-satellite-cyber-recovery. The complete frozen Study 8 modeled population contains 3,456 canonical observations in study8/results/S8-PQC-ICR-001/canonical_observations.csv, with SHA-256 cfc65b6663be4e9f17a00ed102730f8642efcbbd844045acce032ff09a0bcabf. The primary analysis and separately implemented same-repository statistical check share machine-readable findings with SHA-256 26a8ac4d1039917323e75a294775dd14a2b563adb12a5d2fcdb47ce8f15c992e. The interpretation audit SHA-256 is 620827f83fb566ff6ceae1b66c8f51f61ef8e5bbdabbb1c4b5a48b5187a82413. The technical-close science was merged at commit 63106778559c3127a7d6e8765d52939b73a3f35b. Publication preparation consumed these frozen artifacts read-only; no scientific re-execution or statistical reanalysis was performed.</w:t>
      </w:r>
    </w:p>
    <w:p>
      <w:pPr>
        <w:pStyle w:val="Heading1"/>
      </w:pPr>
      <w:r>
        <w:t>Declarations</w:t>
      </w:r>
    </w:p>
    <w:p>
      <w:r>
        <w:rPr>
          <w:b/>
        </w:rPr>
        <w:t xml:space="preserve">Funding. </w:t>
      </w:r>
      <w:r>
        <w:t>This research did not receive any specific grant from funding agencies in the public, commercial, or not-for-profit sectors.</w:t>
      </w:r>
    </w:p>
    <w:p>
      <w:r>
        <w:rPr>
          <w:b/>
        </w:rPr>
        <w:t xml:space="preserve">Declaration of competing interest. </w:t>
      </w:r>
      <w:r>
        <w:t>The author declares no known competing financial interests or personal relationships that could have appeared to influence the work reported in this paper.</w:t>
      </w:r>
    </w:p>
    <w:p>
      <w:r>
        <w:rPr>
          <w:b/>
        </w:rPr>
        <w:t xml:space="preserve">CRediT authorship contribution statement. </w:t>
      </w:r>
      <w:r>
        <w:t>Aman Kumar Singh: Conceptualization; Methodology; Software; Validation; Formal analysis; Investigation; Resources; Data curation; Writing - original draft; Writing - review and editing; Visualization; Project administration.</w:t>
      </w:r>
    </w:p>
    <w:p>
      <w:r>
        <w:rPr>
          <w:b/>
        </w:rPr>
        <w:t xml:space="preserve">Ethics. </w:t>
      </w:r>
      <w:r>
        <w:t>The reported Study 8 experiment is a deterministic software/modeling study and does not involve human participants, identifiable private information, animals, live spacecraft operations, unauthorized access, or radio-frequency experimentation.</w:t>
      </w:r>
    </w:p>
    <w:p>
      <w:r>
        <w:rPr>
          <w:b/>
        </w:rPr>
        <w:t xml:space="preserve">Declaration of generative AI and AI-assisted technologies in the manuscript preparation process. </w:t>
      </w:r>
      <w:r>
        <w:t>During the preparation of this work, the author used OpenAI ChatGPT to support language refinement, drafting, consistency checking, and publication-package review. After using this tool/service, the author reviewed and edited the content as needed and takes full responsibility for the content of the published article. No new Study 8 scientific execution or statistical reanalysis was performed as part of this assistance, and the frozen observations and results were not altered.</w:t>
      </w:r>
    </w:p>
    <w:p>
      <w:pPr>
        <w:pStyle w:val="Heading1"/>
      </w:pPr>
      <w:r>
        <w:t>References</w:t>
      </w:r>
    </w:p>
    <w:p>
      <w:pPr>
        <w:spacing w:after="60"/>
        <w:ind w:left="259" w:hanging="259"/>
      </w:pPr>
      <w:r>
        <w:t>[1] National Institute of Standards and Technology. Considerations for Achieving Crypto Agility: Strategies and Practices. NIST CSWP 39-upd1 (2026). https://doi.org/10.6028/NIST.CSWP.39-upd1</w:t>
      </w:r>
    </w:p>
    <w:p>
      <w:pPr>
        <w:spacing w:after="60"/>
        <w:ind w:left="259" w:hanging="259"/>
      </w:pPr>
      <w:r>
        <w:t>[2] National Institute of Standards and Technology. Module-Lattice-Based Key-Encapsulation Mechanism Standard. FIPS 203 (2024). https://doi.org/10.6028/NIST.FIPS.203</w:t>
      </w:r>
    </w:p>
    <w:p>
      <w:pPr>
        <w:spacing w:after="60"/>
        <w:ind w:left="259" w:hanging="259"/>
      </w:pPr>
      <w:r>
        <w:t>[3] National Institute of Standards and Technology. Module-Lattice-Based Digital Signature Standard. FIPS 204 (2024). https://doi.org/10.6028/NIST.FIPS.204</w:t>
      </w:r>
    </w:p>
    <w:p>
      <w:pPr>
        <w:spacing w:after="60"/>
        <w:ind w:left="259" w:hanging="259"/>
      </w:pPr>
      <w:r>
        <w:t>[4] National Institute of Standards and Technology. Recommendations for Key-Encapsulation Mechanisms. NIST SP 800-227 (2025). https://doi.org/10.6028/NIST.SP.800-227</w:t>
      </w:r>
    </w:p>
    <w:p>
      <w:pPr>
        <w:spacing w:after="60"/>
        <w:ind w:left="259" w:hanging="259"/>
      </w:pPr>
      <w:r>
        <w:t>[5] GSMA. Post Quantum Cryptography for Non-Terrestrial Networks (PQ.07). GSMA PQ.07 (2026). https://www.gsma.com/solutions-and-impact/technologies/security/gsma_resources/post-quantum-cryptography-for-non-terrestrial-networks-pq-07/</w:t>
      </w:r>
    </w:p>
    <w:p>
      <w:pPr>
        <w:spacing w:after="60"/>
        <w:ind w:left="259" w:hanging="259"/>
      </w:pPr>
      <w:r>
        <w:t>[6] J. Mähn, M. Müller, K. Zielinski. Crypto Agility Definitions for Space Systems. ESA Security for Space Systems (3S) (2025). https://security4space.esa.int/2025/papers/41/</w:t>
      </w:r>
    </w:p>
    <w:p>
      <w:pPr>
        <w:spacing w:after="60"/>
        <w:ind w:left="259" w:hanging="259"/>
      </w:pPr>
      <w:r>
        <w:t>[7] C. Wildfeuer, T. Jauslin, A. Lavoyer, M. Starcik, A. Serra, L. Etesi, V. Tamburello, B. Huttner. End-to-End Quantum-Safe Security for Satellite Data Links (E2EQSS). ESA Security for Space Systems (3S) (2025). https://security4space.esa.int/2025/papers/15/</w:t>
      </w:r>
    </w:p>
    <w:p>
      <w:pPr>
        <w:spacing w:after="60"/>
        <w:ind w:left="259" w:hanging="259"/>
      </w:pPr>
      <w:r>
        <w:t>[8] V. Robles, K. Bhargavan, F. Kiefer, T. Gazagnaire. Secure Satellite Software-Defined Payloads with High-Assurance Post-Quantum Cryptography. ESA Security for Space Systems (3S) (2025). https://security4space.esa.int/2025/papers/47/</w:t>
      </w:r>
    </w:p>
    <w:p>
      <w:pPr>
        <w:spacing w:after="60"/>
        <w:ind w:left="259" w:hanging="259"/>
      </w:pPr>
      <w:r>
        <w:t>[9] H. Kim. Post-quantum cryptography for space systems: Algorithms, implementation, and design constraints - A systematic survey. Acta Astronautica 246 (2026) 863-886. https://doi.org/10.1016/j.actaastro.2026.04.041</w:t>
      </w:r>
    </w:p>
    <w:p>
      <w:pPr>
        <w:spacing w:after="60"/>
        <w:ind w:left="259" w:hanging="259"/>
      </w:pPr>
      <w:r>
        <w:t>[10] IEEE. IEEE Standard for Space System Cybersecurity Design. IEEE 3536-2026 (2026). https://standards.ieee.org/ieee/3536/11916/</w:t>
      </w:r>
    </w:p>
    <w:p>
      <w:pPr>
        <w:spacing w:after="60"/>
        <w:ind w:left="259" w:hanging="259"/>
      </w:pPr>
      <w:r>
        <w:t>[11] E. Eichen, S. Llosa, Y. Chen, S. Ha. Practical Post-Quantum Cryptography for Bandwidth Constrained or Non-Terrestrial Networks, and Power Constrained Devices. arXiv:2607.23007 (2026). https://arxiv.org/abs/2607.23007</w:t>
      </w:r>
    </w:p>
    <w:p>
      <w:pPr>
        <w:spacing w:after="60"/>
        <w:ind w:left="259" w:hanging="259"/>
      </w:pPr>
      <w:r>
        <w:t>[12] T. Ghosh, I. Nath. Secure Satellite Communication in the Post-Quantum Era: A Lattice-Based Cryptographic Approach. International Journal of Satellite Communications and Networking 44(5) (2026) 524-543. https://doi.org/10.1002/sat.70041</w:t>
      </w:r>
    </w:p>
    <w:p>
      <w:pPr>
        <w:spacing w:after="60"/>
        <w:ind w:left="259" w:hanging="259"/>
      </w:pPr>
      <w:r>
        <w:t>[13] European Space Agency. ACES: Advanced Cryptography and Secured by Design for 5G/6G Satellite Communication Systems. ESA project (2026). https://resilience.esa.int/archives/projects/aces</w:t>
      </w:r>
    </w:p>
    <w:p>
      <w:pPr>
        <w:spacing w:after="60"/>
        <w:ind w:left="259" w:hanging="259"/>
      </w:pPr>
      <w:r>
        <w:t>[14] Consultative Committee for Space Data Systems. Space Data Link Security Protocol. CCSDS 355.0-B-2, Issue 2 (August 2022). https://ccsds.org/Pubs/355x0b2.pdf</w:t>
      </w:r>
    </w:p>
    <w:p>
      <w:pPr>
        <w:spacing w:after="60"/>
        <w:ind w:left="259" w:hanging="259"/>
      </w:pPr>
      <w:r>
        <w:t>[15] D. Housen-Couriel. Cybersecurity threats to satellite communications: Towards a typology of state actor responses. Acta Astronautica 128 (2016) 409-415. https://doi.org/10.1016/j.actaastro.2016.07.041</w:t>
      </w:r>
    </w:p>
    <w:p>
      <w:pPr>
        <w:spacing w:after="60"/>
        <w:ind w:left="259" w:hanging="259"/>
      </w:pPr>
      <w:r>
        <w:t>[16] G. Falco. Cybersecurity Principles for Space Systems. Journal of Aerospace Information Systems 16(2) (2019) 61-70. https://doi.org/10.2514/1.I010693</w:t>
      </w:r>
    </w:p>
    <w:p>
      <w:pPr>
        <w:spacing w:after="60"/>
        <w:ind w:left="259" w:hanging="259"/>
      </w:pPr>
      <w:r>
        <w:t>[17] O. von Maurich, A. Golkar. Data authentication, integrity and confidentiality mechanisms for federated satellite systems. Acta Astronautica 149 (2018) 61-76. https://doi.org/10.1016/j.actaastro.2018.05.003</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Contact-Aware Cryptographic Agility for Trusted Post-Compromise Recovery in Intermittently Connected Space Systems</dc:title>
  <dc:subject>Acta Astronautica manuscript</dc:subject>
  <dc:creator>Aman Kumar Singh</dc:creator>
  <cp:keywords>cryptographic agility; post-quantum cryptography; ML-KEM; ML-DSA; satellite cybersecurity; intermittent connectivity</cp:keywords>
  <dc:description>generated by python-docx</dc:description>
  <cp:lastModifiedBy/>
  <cp:revision>1</cp:revision>
  <dcterms:created xsi:type="dcterms:W3CDTF">2013-12-23T23:15:00Z</dcterms:created>
  <dcterms:modified xsi:type="dcterms:W3CDTF">2013-12-23T23:15:00Z</dcterms:modified>
  <cp:category/>
</cp:coreProperties>
</file>