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56obdd7ry19l" w:id="0"/>
      <w:bookmarkEnd w:id="0"/>
      <w:r w:rsidDel="00000000" w:rsidR="00000000" w:rsidRPr="00000000">
        <w:rPr>
          <w:b w:val="1"/>
          <w:rtl w:val="0"/>
        </w:rPr>
        <w:t xml:space="preserve">IDS 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  <w:t xml:space="preserve">The visualizations reveal intriguing insights into the sales data. It's evident that outwear products have proven to be the top-selling category, with significant quantities sold. Additionally, the Western region emerges as a robust market for Adidas products, characterized by a higher volume of sales. Interestingly, online sales appear to have a substantial share, despite fewer units sold in this channel. This suggests a potential for higher-priced items, which could be contributing to the overall revenue, highlighting the significance of e-commerce in the sales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