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67E" w:rsidRDefault="00B34FB1" w:rsidP="00B34FB1">
      <w:pPr>
        <w:pStyle w:val="a4"/>
      </w:pPr>
      <w:r>
        <w:t xml:space="preserve">Релевантная и </w:t>
      </w:r>
      <w:proofErr w:type="spellStart"/>
      <w:r>
        <w:t>субструктурная</w:t>
      </w:r>
      <w:proofErr w:type="spellEnd"/>
      <w:r>
        <w:t xml:space="preserve"> логика</w:t>
      </w:r>
    </w:p>
    <w:p w:rsidR="00B34FB1" w:rsidRDefault="00B34FB1" w:rsidP="009B5331">
      <w:pPr>
        <w:pStyle w:val="a3"/>
      </w:pPr>
      <w:r>
        <w:t xml:space="preserve">Грэг </w:t>
      </w:r>
      <w:proofErr w:type="spellStart"/>
      <w:r>
        <w:t>Рентол</w:t>
      </w:r>
      <w:proofErr w:type="spellEnd"/>
      <w:r>
        <w:rPr>
          <w:rStyle w:val="a8"/>
        </w:rPr>
        <w:footnoteReference w:id="1"/>
      </w:r>
    </w:p>
    <w:p w:rsidR="00B34FB1" w:rsidRDefault="00B34FB1" w:rsidP="009B5331">
      <w:pPr>
        <w:pStyle w:val="a3"/>
      </w:pPr>
      <w:r>
        <w:t xml:space="preserve">Университет </w:t>
      </w:r>
      <w:proofErr w:type="spellStart"/>
      <w:r>
        <w:t>Маккуори</w:t>
      </w:r>
      <w:proofErr w:type="spellEnd"/>
      <w:r>
        <w:t>, отделение философии.</w:t>
      </w:r>
    </w:p>
    <w:p w:rsidR="00B34FB1" w:rsidRDefault="00B34FB1" w:rsidP="009B5331">
      <w:pPr>
        <w:pStyle w:val="a3"/>
      </w:pPr>
      <w:r>
        <w:t>23 июня 2001 г.</w:t>
      </w:r>
    </w:p>
    <w:p w:rsidR="006F45BE" w:rsidRPr="00715393" w:rsidRDefault="006F45BE" w:rsidP="009B5331">
      <w:pPr>
        <w:pStyle w:val="a3"/>
      </w:pPr>
      <w:r>
        <w:t xml:space="preserve">Краткое описание: Это история релевантной и </w:t>
      </w:r>
      <w:proofErr w:type="spellStart"/>
      <w:r>
        <w:t>субструктурной</w:t>
      </w:r>
      <w:proofErr w:type="spellEnd"/>
      <w:r>
        <w:t xml:space="preserve"> логики</w:t>
      </w:r>
      <w:r w:rsidR="00715393">
        <w:t xml:space="preserve">, написанная для </w:t>
      </w:r>
      <w:r w:rsidR="00715393" w:rsidRPr="00715393">
        <w:rPr>
          <w:i/>
        </w:rPr>
        <w:t>Настольной книги по истории и философии логики</w:t>
      </w:r>
      <w:r w:rsidR="00715393">
        <w:t>,</w:t>
      </w:r>
      <w:r w:rsidR="00715393" w:rsidRPr="00715393">
        <w:t xml:space="preserve"> </w:t>
      </w:r>
      <w:r w:rsidR="00715393">
        <w:t xml:space="preserve">под редакцией </w:t>
      </w:r>
      <w:proofErr w:type="spellStart"/>
      <w:r w:rsidR="00715393">
        <w:t>Дова</w:t>
      </w:r>
      <w:proofErr w:type="spellEnd"/>
      <w:r w:rsidR="00715393">
        <w:t xml:space="preserve"> </w:t>
      </w:r>
      <w:proofErr w:type="spellStart"/>
      <w:r w:rsidR="00715393">
        <w:t>Габбэя</w:t>
      </w:r>
      <w:proofErr w:type="spellEnd"/>
      <w:r w:rsidR="00715393">
        <w:t xml:space="preserve"> и Джона </w:t>
      </w:r>
      <w:proofErr w:type="spellStart"/>
      <w:r w:rsidR="00715393">
        <w:t>Вудса</w:t>
      </w:r>
      <w:proofErr w:type="spellEnd"/>
      <w:r w:rsidR="00715393">
        <w:rPr>
          <w:rStyle w:val="a8"/>
        </w:rPr>
        <w:footnoteReference w:id="2"/>
      </w:r>
      <w:r w:rsidR="00715393">
        <w:t>.</w:t>
      </w:r>
    </w:p>
    <w:p w:rsidR="00B34FB1" w:rsidRDefault="009B5331" w:rsidP="001445CE">
      <w:pPr>
        <w:pStyle w:val="1"/>
        <w:numPr>
          <w:ilvl w:val="0"/>
          <w:numId w:val="1"/>
        </w:numPr>
      </w:pPr>
      <w:r>
        <w:t>Введение</w:t>
      </w:r>
    </w:p>
    <w:p w:rsidR="009B5331" w:rsidRPr="004F5B21" w:rsidRDefault="009B5331" w:rsidP="00A44E33">
      <w:pPr>
        <w:spacing w:line="240" w:lineRule="auto"/>
        <w:jc w:val="both"/>
      </w:pPr>
      <w:r>
        <w:t>Логику, как правило, рассматривают с двух точек зрения – с точки зрения доказательств и с точки зрения моделей</w:t>
      </w:r>
      <w:r>
        <w:rPr>
          <w:rStyle w:val="a8"/>
        </w:rPr>
        <w:footnoteReference w:id="3"/>
      </w:r>
      <w:r>
        <w:t>.</w:t>
      </w:r>
      <w:r w:rsidR="00954847">
        <w:t xml:space="preserve"> Релевантная и </w:t>
      </w:r>
      <w:proofErr w:type="spellStart"/>
      <w:r w:rsidR="00954847">
        <w:t>субструктурная</w:t>
      </w:r>
      <w:proofErr w:type="spellEnd"/>
      <w:r w:rsidR="00954847">
        <w:t xml:space="preserve"> логики не отличаются: </w:t>
      </w:r>
      <w:r w:rsidR="00A44E33">
        <w:t>вы можете сосредоточиться на понятии доказательства, правилах вывода или конструктивных особенностях умозаключения в этих логиках, или вы можете сосредоточиться на интерпретации языка в других конструкциях.</w:t>
      </w:r>
    </w:p>
    <w:p w:rsidR="00A44E33" w:rsidRDefault="00A44E33" w:rsidP="00A44E33">
      <w:pPr>
        <w:spacing w:line="240" w:lineRule="auto"/>
        <w:jc w:val="both"/>
      </w:pPr>
      <w:r>
        <w:t xml:space="preserve">Эта статья строится вокруг развилки между доказательствами и моделями: в первой части обсуждается теория доказательств в релевантной и </w:t>
      </w:r>
      <w:proofErr w:type="spellStart"/>
      <w:r>
        <w:t>субструктурной</w:t>
      </w:r>
      <w:proofErr w:type="spellEnd"/>
      <w:r>
        <w:t xml:space="preserve"> логиках, а вторая охватывает теорию моделей этих логик. Этот порядок является естественным для истории релевантной и </w:t>
      </w:r>
      <w:proofErr w:type="spellStart"/>
      <w:r>
        <w:t>субструктурной</w:t>
      </w:r>
      <w:proofErr w:type="spellEnd"/>
      <w:r>
        <w:t xml:space="preserve"> логик, так как большинство первоначальных работ – особенно в традиционной релевантной логике Андерсона-</w:t>
      </w:r>
      <w:proofErr w:type="spellStart"/>
      <w:r>
        <w:t>Балнапа</w:t>
      </w:r>
      <w:proofErr w:type="spellEnd"/>
      <w:r>
        <w:t xml:space="preserve"> – начали с создания теории доказательств.</w:t>
      </w:r>
      <w:r w:rsidR="00C63479">
        <w:t xml:space="preserve"> Теория моделей релевантной логики пришла несколько позднее. Как мы увидим, алгебраические модели </w:t>
      </w:r>
      <w:proofErr w:type="spellStart"/>
      <w:r w:rsidR="00C63479">
        <w:t>Данна</w:t>
      </w:r>
      <w:proofErr w:type="spellEnd"/>
      <w:r w:rsidR="00C63479">
        <w:t xml:space="preserve"> </w:t>
      </w:r>
      <w:r w:rsidR="00C63479" w:rsidRPr="00C63479">
        <w:t>[76, 77]</w:t>
      </w:r>
      <w:r w:rsidR="00C63479">
        <w:t>,</w:t>
      </w:r>
      <w:r w:rsidR="00C63479" w:rsidRPr="00C63479">
        <w:t xml:space="preserve"> </w:t>
      </w:r>
      <w:r w:rsidR="00C63479">
        <w:t xml:space="preserve">операционная семантика </w:t>
      </w:r>
      <w:proofErr w:type="spellStart"/>
      <w:r w:rsidR="00C63479">
        <w:t>Уркарта</w:t>
      </w:r>
      <w:proofErr w:type="spellEnd"/>
      <w:r w:rsidR="00C63479">
        <w:t xml:space="preserve"> </w:t>
      </w:r>
      <w:r w:rsidR="00C63479" w:rsidRPr="00C63479">
        <w:t xml:space="preserve">[267, 268] </w:t>
      </w:r>
      <w:r w:rsidR="00C63479">
        <w:t xml:space="preserve">и реляционная семантика </w:t>
      </w:r>
      <w:proofErr w:type="spellStart"/>
      <w:r w:rsidR="00C63479">
        <w:t>Рутли</w:t>
      </w:r>
      <w:proofErr w:type="spellEnd"/>
      <w:r w:rsidR="00C63479">
        <w:t xml:space="preserve"> и Майера </w:t>
      </w:r>
      <w:r w:rsidR="00C63479" w:rsidRPr="00C63479">
        <w:t xml:space="preserve">[239, 240, 241] </w:t>
      </w:r>
      <w:r w:rsidR="00C63479">
        <w:t xml:space="preserve">пришли на десятилетия позже первоначального всплеска активности Алана Андерсона и </w:t>
      </w:r>
      <w:proofErr w:type="spellStart"/>
      <w:r w:rsidR="00C63479">
        <w:t>Нуэла</w:t>
      </w:r>
      <w:proofErr w:type="spellEnd"/>
      <w:r w:rsidR="00C63479">
        <w:t xml:space="preserve"> </w:t>
      </w:r>
      <w:proofErr w:type="spellStart"/>
      <w:r w:rsidR="00C63479">
        <w:t>Белнапа</w:t>
      </w:r>
      <w:proofErr w:type="spellEnd"/>
      <w:r w:rsidR="00C63479">
        <w:t>.</w:t>
      </w:r>
      <w:r w:rsidR="00B10D49">
        <w:t xml:space="preserve"> Тоже самое касается работы по исчислению </w:t>
      </w:r>
      <w:proofErr w:type="spellStart"/>
      <w:r w:rsidR="00B10D49">
        <w:t>Ламбека</w:t>
      </w:r>
      <w:proofErr w:type="spellEnd"/>
      <w:r w:rsidR="00B10D49">
        <w:t xml:space="preserve">: хотя вдохновлен он был очень конкретным применением лингвистической типизации, </w:t>
      </w:r>
      <w:r w:rsidR="004F5B21">
        <w:t xml:space="preserve">сначала </w:t>
      </w:r>
      <w:r w:rsidR="00B10D49">
        <w:t>он</w:t>
      </w:r>
      <w:r w:rsidR="004F5B21">
        <w:t>о</w:t>
      </w:r>
      <w:r w:rsidR="00B10D49">
        <w:t xml:space="preserve"> была разработана в рамках теории доказательств, и лишь позднее </w:t>
      </w:r>
      <w:r w:rsidR="004F5B21">
        <w:t>на первый план выходит теория моделей.</w:t>
      </w:r>
      <w:r w:rsidR="00425553">
        <w:t xml:space="preserve"> С линейной логикой </w:t>
      </w:r>
      <w:proofErr w:type="spellStart"/>
      <w:r w:rsidR="00425553">
        <w:t>Жирара</w:t>
      </w:r>
      <w:proofErr w:type="spellEnd"/>
      <w:r w:rsidR="00425553">
        <w:t xml:space="preserve"> совсем другая история: она была открыта несмотря на</w:t>
      </w:r>
      <w:r w:rsidR="00425553" w:rsidRPr="00425553">
        <w:t xml:space="preserve"> </w:t>
      </w:r>
      <w:r w:rsidR="00425553">
        <w:t xml:space="preserve">соображения категориальной модели связных пространств. Однако так как линейная логика появляется на сцене на много позже, чем релевантная логика или исчисление </w:t>
      </w:r>
      <w:proofErr w:type="spellStart"/>
      <w:r w:rsidR="00425553">
        <w:t>Ламбека</w:t>
      </w:r>
      <w:proofErr w:type="spellEnd"/>
      <w:r w:rsidR="00425553">
        <w:t>, начинать</w:t>
      </w:r>
      <w:r w:rsidR="00713D03">
        <w:t xml:space="preserve"> логику с теории доказательств не приводит к слишком большим временным проблемам.</w:t>
      </w:r>
    </w:p>
    <w:p w:rsidR="0001284B" w:rsidRDefault="0001284B" w:rsidP="00A44E33">
      <w:pPr>
        <w:spacing w:line="240" w:lineRule="auto"/>
        <w:jc w:val="both"/>
      </w:pPr>
      <w:r>
        <w:t xml:space="preserve">Я закончу с небольшими недочетами, указав направление для дальнейшей работы. Затем основные разделы структурируются по темам и внутри этих разделов я буду стараться обрисовать основные исторические направления развития в </w:t>
      </w:r>
      <w:proofErr w:type="spellStart"/>
      <w:r>
        <w:t>субструктурных</w:t>
      </w:r>
      <w:proofErr w:type="spellEnd"/>
      <w:r>
        <w:t xml:space="preserve"> логиках.</w:t>
      </w:r>
      <w:r w:rsidR="008A113E">
        <w:t xml:space="preserve"> Тогда это будет </w:t>
      </w:r>
      <w:r w:rsidR="008A113E" w:rsidRPr="008A113E">
        <w:rPr>
          <w:i/>
        </w:rPr>
        <w:t>концептуальная</w:t>
      </w:r>
      <w:r w:rsidR="008A113E">
        <w:t xml:space="preserve"> </w:t>
      </w:r>
      <w:r w:rsidR="008A113E">
        <w:lastRenderedPageBreak/>
        <w:t>история с указанием взаимосвязей, зависимостей и развития самого содержания.</w:t>
      </w:r>
      <w:r w:rsidR="008A113E" w:rsidRPr="008A113E">
        <w:t xml:space="preserve"> </w:t>
      </w:r>
      <w:r w:rsidR="008A113E">
        <w:t>Я буду уделять меньше внимания на определение того, кто, что и когда сделал</w:t>
      </w:r>
      <w:r w:rsidR="008A113E">
        <w:rPr>
          <w:rStyle w:val="a8"/>
        </w:rPr>
        <w:footnoteReference w:id="4"/>
      </w:r>
      <w:r w:rsidR="008A113E">
        <w:t>.</w:t>
      </w:r>
    </w:p>
    <w:p w:rsidR="00890B56" w:rsidRDefault="00890B56" w:rsidP="00A44E33">
      <w:pPr>
        <w:spacing w:line="240" w:lineRule="auto"/>
        <w:jc w:val="both"/>
      </w:pPr>
      <w:r>
        <w:t>Я понимаю, что логику лучше всего изучать, делая так-то и так-то, и поэтому взял на себя смелость набросать доказательства основных результатов, потому что техники, используемые в доказательствах, иногда являются достаточно примечательной областью.</w:t>
      </w:r>
      <w:r w:rsidR="00B51911">
        <w:t xml:space="preserve"> Доказательства могут быть пропущены или бегло просмотрены без какой-либо угрозы в непрерывности повествования. Однако, чтобы получить правильное представление об истории, в свободное время следует попытаться насладиться доказательствами.</w:t>
      </w:r>
    </w:p>
    <w:p w:rsidR="00816267" w:rsidRDefault="00C83E49" w:rsidP="00A44E33">
      <w:pPr>
        <w:spacing w:line="240" w:lineRule="auto"/>
        <w:jc w:val="both"/>
      </w:pPr>
      <w:r>
        <w:t>Позвольте мне закончить это введение, поместив эт</w:t>
      </w:r>
      <w:r w:rsidR="0039421F">
        <w:t>у</w:t>
      </w:r>
      <w:r>
        <w:t xml:space="preserve"> </w:t>
      </w:r>
      <w:r w:rsidR="0039421F">
        <w:t>статью</w:t>
      </w:r>
      <w:r>
        <w:t xml:space="preserve"> в более широкий контекст и объяснить, чем он</w:t>
      </w:r>
      <w:r w:rsidR="0039421F">
        <w:t>а</w:t>
      </w:r>
      <w:r>
        <w:t xml:space="preserve"> отличается от подобных </w:t>
      </w:r>
      <w:r w:rsidR="0039421F">
        <w:t xml:space="preserve">ознакомительных </w:t>
      </w:r>
      <w:r>
        <w:t xml:space="preserve">книг и </w:t>
      </w:r>
      <w:r w:rsidR="0039421F">
        <w:t>статей</w:t>
      </w:r>
      <w:r>
        <w:t>.</w:t>
      </w:r>
      <w:r w:rsidR="00687F02">
        <w:t xml:space="preserve"> Другие всеобъемлющие введения, такие как «Релевантная логика и логическое следование» </w:t>
      </w:r>
      <w:proofErr w:type="spellStart"/>
      <w:r w:rsidR="00687F02">
        <w:t>Данна</w:t>
      </w:r>
      <w:proofErr w:type="spellEnd"/>
      <w:r w:rsidR="00687F02">
        <w:t xml:space="preserve"> </w:t>
      </w:r>
      <w:r w:rsidR="00687F02" w:rsidRPr="00687F02">
        <w:t xml:space="preserve">[81] </w:t>
      </w:r>
      <w:r w:rsidR="00687F02">
        <w:t xml:space="preserve">и ее продолжение «Релевантная логика», </w:t>
      </w:r>
      <w:r w:rsidR="00687F02">
        <w:rPr>
          <w:i/>
        </w:rPr>
        <w:t xml:space="preserve">Релевантная логика </w:t>
      </w:r>
      <w:r w:rsidR="00687F02">
        <w:t>Рида</w:t>
      </w:r>
      <w:r w:rsidR="00687F02" w:rsidRPr="00687F02">
        <w:t>[224]</w:t>
      </w:r>
      <w:r w:rsidR="00687F02">
        <w:t xml:space="preserve"> и </w:t>
      </w:r>
      <w:r w:rsidR="00687F02">
        <w:rPr>
          <w:i/>
        </w:rPr>
        <w:t xml:space="preserve">Лекции по линейной логике </w:t>
      </w:r>
      <w:proofErr w:type="spellStart"/>
      <w:r w:rsidR="00687F02">
        <w:t>Троэлстры</w:t>
      </w:r>
      <w:proofErr w:type="spellEnd"/>
      <w:r w:rsidR="00687F02">
        <w:t xml:space="preserve"> </w:t>
      </w:r>
      <w:r w:rsidR="00687F02" w:rsidRPr="00687F02">
        <w:t xml:space="preserve">[264] </w:t>
      </w:r>
      <w:r w:rsidR="00687F02">
        <w:t xml:space="preserve">по сравнению с этой статьей более узко специализированы, сосредотачиваются на той или другой из многочисленных релевантных или </w:t>
      </w:r>
      <w:proofErr w:type="spellStart"/>
      <w:r w:rsidR="00687F02">
        <w:t>собструктурных</w:t>
      </w:r>
      <w:proofErr w:type="spellEnd"/>
      <w:r w:rsidR="00687F02">
        <w:t xml:space="preserve"> логиках.</w:t>
      </w:r>
      <w:r w:rsidR="00490B95" w:rsidRPr="00490B95">
        <w:t xml:space="preserve"> </w:t>
      </w:r>
      <w:r w:rsidR="00490B95">
        <w:t>Двухтомник Андерсона-</w:t>
      </w:r>
      <w:proofErr w:type="spellStart"/>
      <w:r w:rsidR="00490B95">
        <w:t>Балнапа</w:t>
      </w:r>
      <w:proofErr w:type="spellEnd"/>
      <w:r w:rsidR="00490B95">
        <w:t xml:space="preserve"> </w:t>
      </w:r>
      <w:r w:rsidR="00490B95">
        <w:rPr>
          <w:i/>
        </w:rPr>
        <w:t xml:space="preserve">Логическое следование </w:t>
      </w:r>
      <w:r w:rsidR="00490B95" w:rsidRPr="00490B95">
        <w:t>[10, 11]</w:t>
      </w:r>
      <w:r w:rsidR="00490B95">
        <w:t xml:space="preserve"> представляет собой кладезь исторических деталей по релевантной логике, однако по другим важным аспектам </w:t>
      </w:r>
      <w:proofErr w:type="spellStart"/>
      <w:r w:rsidR="00490B95">
        <w:t>субструктурной</w:t>
      </w:r>
      <w:proofErr w:type="spellEnd"/>
      <w:r w:rsidR="00490B95">
        <w:t xml:space="preserve"> логики – мало.</w:t>
      </w:r>
    </w:p>
    <w:p w:rsidR="00C83E49" w:rsidRDefault="00816267" w:rsidP="00A44E33">
      <w:pPr>
        <w:spacing w:line="240" w:lineRule="auto"/>
        <w:jc w:val="both"/>
      </w:pPr>
      <w:r>
        <w:t xml:space="preserve">Мое </w:t>
      </w:r>
      <w:r>
        <w:rPr>
          <w:i/>
        </w:rPr>
        <w:t>Введение</w:t>
      </w:r>
      <w:r w:rsidR="00490B95" w:rsidRPr="00816267">
        <w:rPr>
          <w:i/>
        </w:rPr>
        <w:t xml:space="preserve"> </w:t>
      </w:r>
      <w:r w:rsidRPr="00816267">
        <w:rPr>
          <w:i/>
        </w:rPr>
        <w:t xml:space="preserve">в </w:t>
      </w:r>
      <w:proofErr w:type="spellStart"/>
      <w:r w:rsidRPr="00816267">
        <w:rPr>
          <w:i/>
        </w:rPr>
        <w:t>субструктурные</w:t>
      </w:r>
      <w:proofErr w:type="spellEnd"/>
      <w:r w:rsidRPr="00816267">
        <w:rPr>
          <w:i/>
        </w:rPr>
        <w:t xml:space="preserve"> логики</w:t>
      </w:r>
      <w:r>
        <w:t xml:space="preserve"> </w:t>
      </w:r>
      <w:r w:rsidRPr="00816267">
        <w:t>[234]</w:t>
      </w:r>
      <w:r>
        <w:t xml:space="preserve"> имеет похожий с данной главной объем в том, что она охватывает широкий диапазон </w:t>
      </w:r>
      <w:proofErr w:type="spellStart"/>
      <w:r>
        <w:t>субструктурных</w:t>
      </w:r>
      <w:proofErr w:type="spellEnd"/>
      <w:r>
        <w:t xml:space="preserve"> логик, однако эта книга носит более технический характер, чем</w:t>
      </w:r>
      <w:r w:rsidR="002E3100">
        <w:t xml:space="preserve"> эта статья, так как она имеет много формальных результатов, сформированных и доказанных в общем виде.</w:t>
      </w:r>
      <w:r w:rsidR="008A641A">
        <w:t xml:space="preserve"> Она так же написана для введения в предмет чисто тематически, а не исторически.</w:t>
      </w:r>
    </w:p>
    <w:p w:rsidR="001445CE" w:rsidRDefault="001445CE" w:rsidP="001445CE">
      <w:pPr>
        <w:pStyle w:val="1"/>
        <w:numPr>
          <w:ilvl w:val="0"/>
          <w:numId w:val="1"/>
        </w:numPr>
      </w:pPr>
      <w:r>
        <w:t>Доказательства</w:t>
      </w:r>
    </w:p>
    <w:p w:rsidR="003D1732" w:rsidRPr="001101AC" w:rsidRDefault="003D1732" w:rsidP="00074019">
      <w:pPr>
        <w:jc w:val="both"/>
      </w:pPr>
      <w:r>
        <w:t>Дисциплина релевантной логики выросла из попытки уяснить понятия следования и обусловленности, когда заключение допустимого аргумента уместно для посылок</w:t>
      </w:r>
      <w:r w:rsidR="00074019" w:rsidRPr="00074019">
        <w:t xml:space="preserve"> </w:t>
      </w:r>
      <w:r w:rsidR="00074019">
        <w:t xml:space="preserve">и </w:t>
      </w:r>
      <w:proofErr w:type="spellStart"/>
      <w:r w:rsidR="00074019">
        <w:t>консеквент</w:t>
      </w:r>
      <w:proofErr w:type="spellEnd"/>
      <w:r w:rsidR="00074019">
        <w:t xml:space="preserve"> истинного условного высказывания уместен для </w:t>
      </w:r>
      <w:proofErr w:type="spellStart"/>
      <w:r w:rsidR="00074019">
        <w:t>антецента</w:t>
      </w:r>
      <w:proofErr w:type="spellEnd"/>
      <w:r w:rsidR="00074019">
        <w:t xml:space="preserve">. </w:t>
      </w:r>
    </w:p>
    <w:p w:rsidR="00074019" w:rsidRDefault="00074019" w:rsidP="00074019">
      <w:pPr>
        <w:jc w:val="both"/>
      </w:pPr>
      <w:r>
        <w:t>«</w:t>
      </w:r>
      <w:proofErr w:type="spellStart"/>
      <w:r>
        <w:t>Субструктурный</w:t>
      </w:r>
      <w:proofErr w:type="spellEnd"/>
      <w:r>
        <w:t xml:space="preserve">» – более новый термин, обязанный своим происхождением </w:t>
      </w:r>
      <w:proofErr w:type="spellStart"/>
      <w:r w:rsidR="007B475A">
        <w:t>Шрёдеру-Хейстеру</w:t>
      </w:r>
      <w:proofErr w:type="spellEnd"/>
      <w:r w:rsidR="007B475A">
        <w:t xml:space="preserve"> и </w:t>
      </w:r>
      <w:proofErr w:type="spellStart"/>
      <w:r w:rsidR="007B475A">
        <w:t>Дозену</w:t>
      </w:r>
      <w:proofErr w:type="spellEnd"/>
      <w:r w:rsidR="007B475A">
        <w:t>. Они пишут:</w:t>
      </w:r>
    </w:p>
    <w:p w:rsidR="007B475A" w:rsidRPr="004C5229" w:rsidRDefault="007B475A" w:rsidP="007B475A">
      <w:pPr>
        <w:ind w:left="567"/>
        <w:jc w:val="both"/>
      </w:pPr>
      <w:r>
        <w:t xml:space="preserve">Мы предлагаем называть логики, получающиеся… ограничением структурных правил, </w:t>
      </w:r>
      <w:proofErr w:type="spellStart"/>
      <w:r>
        <w:rPr>
          <w:i/>
        </w:rPr>
        <w:t>субструктурными</w:t>
      </w:r>
      <w:proofErr w:type="spellEnd"/>
      <w:r>
        <w:rPr>
          <w:i/>
        </w:rPr>
        <w:t xml:space="preserve"> логиками</w:t>
      </w:r>
      <w:r>
        <w:t xml:space="preserve">. </w:t>
      </w:r>
      <w:r w:rsidRPr="004C5229">
        <w:t xml:space="preserve">[250, </w:t>
      </w:r>
      <w:r>
        <w:t>стр. 6</w:t>
      </w:r>
      <w:r w:rsidRPr="004C5229">
        <w:t>]</w:t>
      </w:r>
    </w:p>
    <w:p w:rsidR="00FB351A" w:rsidRPr="004C5229" w:rsidRDefault="00FB351A" w:rsidP="00FB351A">
      <w:pPr>
        <w:pStyle w:val="a3"/>
      </w:pPr>
    </w:p>
    <w:p w:rsidR="001445CE" w:rsidRDefault="001101AC" w:rsidP="001101AC">
      <w:pPr>
        <w:jc w:val="both"/>
      </w:pPr>
      <w:r>
        <w:t xml:space="preserve">Структурные правила, упомянутые здесь, задают допустимые формы преобразования условий в доказательствах. Далее в этом разделе мы увидим, как релевантная логика естественным путем считается </w:t>
      </w:r>
      <w:proofErr w:type="spellStart"/>
      <w:r>
        <w:t>субструктурной</w:t>
      </w:r>
      <w:proofErr w:type="spellEnd"/>
      <w:r>
        <w:t xml:space="preserve"> логикой, как некоторые повсеместно признаваемые структурные правила несут ответственность за введение неуместных выводов в доказательства.</w:t>
      </w:r>
    </w:p>
    <w:p w:rsidR="00E73F43" w:rsidRDefault="00E73F43" w:rsidP="001101AC">
      <w:pPr>
        <w:jc w:val="both"/>
      </w:pPr>
      <w:r>
        <w:t>Исторический приоритет в этой области принадлежит традиционной релевантной логике и поэтому мы обратимся к зачаткам рассмотрения релевантности.</w:t>
      </w:r>
    </w:p>
    <w:p w:rsidR="00AC7319" w:rsidRDefault="00AC7319" w:rsidP="00AC7319">
      <w:pPr>
        <w:pStyle w:val="2"/>
        <w:numPr>
          <w:ilvl w:val="1"/>
          <w:numId w:val="1"/>
        </w:numPr>
      </w:pPr>
      <w:r>
        <w:t xml:space="preserve">Релевантная импликация: Орлов, Мох и </w:t>
      </w:r>
      <w:proofErr w:type="spellStart"/>
      <w:r>
        <w:t>Чёрч</w:t>
      </w:r>
      <w:proofErr w:type="spellEnd"/>
    </w:p>
    <w:p w:rsidR="00AC7319" w:rsidRDefault="00AC7319" w:rsidP="00663C33">
      <w:pPr>
        <w:jc w:val="both"/>
      </w:pPr>
      <w:proofErr w:type="spellStart"/>
      <w:r>
        <w:t>Дозен</w:t>
      </w:r>
      <w:proofErr w:type="spellEnd"/>
      <w:r>
        <w:t xml:space="preserve"> показал нам </w:t>
      </w:r>
      <w:r w:rsidRPr="00AC7319">
        <w:t>[71]</w:t>
      </w:r>
      <w:r>
        <w:t xml:space="preserve">, что </w:t>
      </w:r>
      <w:proofErr w:type="spellStart"/>
      <w:r>
        <w:t>субструктурная</w:t>
      </w:r>
      <w:proofErr w:type="spellEnd"/>
      <w:r>
        <w:t xml:space="preserve"> логика восходит по крайней мере к 1928 году, когда И.Е. Орлов аксиоматизировал пропозициональную логику, слабее классической</w:t>
      </w:r>
      <w:r w:rsidR="00663C33">
        <w:rPr>
          <w:rStyle w:val="a8"/>
        </w:rPr>
        <w:footnoteReference w:id="5"/>
      </w:r>
      <w:r>
        <w:t>.</w:t>
      </w:r>
      <w:r w:rsidR="00663C33" w:rsidRPr="00663C33">
        <w:t xml:space="preserve"> </w:t>
      </w:r>
      <w:r w:rsidR="00663C33">
        <w:t xml:space="preserve">Орлов аксиоматизировал эту логику для того, чтобы «представлять </w:t>
      </w:r>
      <w:r w:rsidR="0062292A">
        <w:t>совместность</w:t>
      </w:r>
      <w:r w:rsidR="00663C33">
        <w:t xml:space="preserve"> предложени</w:t>
      </w:r>
      <w:r w:rsidR="0062292A">
        <w:t>й</w:t>
      </w:r>
      <w:r w:rsidR="00663C33">
        <w:t xml:space="preserve"> в </w:t>
      </w:r>
      <w:r w:rsidR="00663C33">
        <w:lastRenderedPageBreak/>
        <w:t xml:space="preserve">символической форме» </w:t>
      </w:r>
      <w:r w:rsidR="00663C33" w:rsidRPr="00663C33">
        <w:t>[</w:t>
      </w:r>
      <w:r w:rsidR="00663C33">
        <w:t>71, стр. 341</w:t>
      </w:r>
      <w:r w:rsidR="00663C33" w:rsidRPr="00663C33">
        <w:t>]</w:t>
      </w:r>
      <w:r w:rsidR="00663C33">
        <w:t>.</w:t>
      </w:r>
      <w:r w:rsidR="00E1595E">
        <w:t xml:space="preserve"> Логика высказываний Орлова обладает следующей аксиоматизацией</w:t>
      </w:r>
      <w:r w:rsidR="008A4CDF">
        <w:rPr>
          <w:rStyle w:val="a8"/>
        </w:rPr>
        <w:footnoteReference w:id="6"/>
      </w:r>
      <w:r w:rsidR="00E1595E">
        <w:t>:</w:t>
      </w:r>
    </w:p>
    <w:p w:rsidR="0062292A" w:rsidRPr="0062292A" w:rsidRDefault="0062292A" w:rsidP="0062292A">
      <w:pPr>
        <w:pStyle w:val="a9"/>
        <w:numPr>
          <w:ilvl w:val="0"/>
          <w:numId w:val="2"/>
        </w:numPr>
        <w:jc w:val="both"/>
      </w:pPr>
      <m:oMath>
        <m:r>
          <w:rPr>
            <w:rFonts w:ascii="Cambria Math" w:hAnsi="Cambria Math"/>
          </w:rPr>
          <m:t>A→~~A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Введение двойного отрицания</w:t>
      </w:r>
    </w:p>
    <w:p w:rsidR="0062292A" w:rsidRPr="0062292A" w:rsidRDefault="0062292A" w:rsidP="0062292A">
      <w:pPr>
        <w:pStyle w:val="a9"/>
        <w:numPr>
          <w:ilvl w:val="0"/>
          <w:numId w:val="2"/>
        </w:numPr>
        <w:jc w:val="both"/>
      </w:pPr>
      <m:oMath>
        <m:r>
          <w:rPr>
            <w:rFonts w:ascii="Cambria Math" w:hAnsi="Cambria Math"/>
          </w:rPr>
          <m:t>~~A→A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Удаление двойного отрицания</w:t>
      </w:r>
    </w:p>
    <w:p w:rsidR="0062292A" w:rsidRPr="0062292A" w:rsidRDefault="0062292A" w:rsidP="0062292A">
      <w:pPr>
        <w:pStyle w:val="a9"/>
        <w:numPr>
          <w:ilvl w:val="0"/>
          <w:numId w:val="2"/>
        </w:numPr>
        <w:jc w:val="both"/>
      </w:pPr>
      <m:oMath>
        <m:r>
          <w:rPr>
            <w:rFonts w:ascii="Cambria Math" w:hAnsi="Cambria Math"/>
          </w:rPr>
          <m:t>A→~(A→~A)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Приведение к </w:t>
      </w:r>
      <w:proofErr w:type="spellStart"/>
      <w:r>
        <w:rPr>
          <w:rFonts w:eastAsiaTheme="minorEastAsia"/>
        </w:rPr>
        <w:t>контрпримеру</w:t>
      </w:r>
      <w:proofErr w:type="spellEnd"/>
    </w:p>
    <w:p w:rsidR="0062292A" w:rsidRPr="008D5F2B" w:rsidRDefault="008D5F2B" w:rsidP="0062292A">
      <w:pPr>
        <w:pStyle w:val="a9"/>
        <w:numPr>
          <w:ilvl w:val="0"/>
          <w:numId w:val="2"/>
        </w:numPr>
        <w:jc w:val="both"/>
      </w:pP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A→B</m:t>
        </m:r>
        <m:r>
          <w:rPr>
            <w:rFonts w:ascii="Cambria Math" w:hAnsi="Cambria Math"/>
          </w:rPr>
          <m:t>)→(~B→~A)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Контрапозиция</w:t>
      </w:r>
    </w:p>
    <w:p w:rsidR="008D5F2B" w:rsidRPr="008D5F2B" w:rsidRDefault="00C90C36" w:rsidP="0062292A">
      <w:pPr>
        <w:pStyle w:val="a9"/>
        <w:numPr>
          <w:ilvl w:val="0"/>
          <w:numId w:val="2"/>
        </w:numPr>
        <w:jc w:val="bot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A→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B→C</m:t>
                </m:r>
              </m:e>
            </m:d>
          </m:e>
        </m:d>
        <m: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B→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A→C</m:t>
                </m:r>
              </m:e>
            </m:d>
          </m:e>
        </m:d>
      </m:oMath>
      <w:r w:rsidR="008D5F2B">
        <w:rPr>
          <w:rFonts w:eastAsiaTheme="minorEastAsia"/>
        </w:rPr>
        <w:tab/>
      </w:r>
      <w:r w:rsidR="008D5F2B">
        <w:rPr>
          <w:rFonts w:eastAsiaTheme="minorEastAsia"/>
        </w:rPr>
        <w:tab/>
        <w:t>Перестановка</w:t>
      </w:r>
    </w:p>
    <w:p w:rsidR="008D5F2B" w:rsidRPr="008D5F2B" w:rsidRDefault="00C90C36" w:rsidP="0062292A">
      <w:pPr>
        <w:pStyle w:val="a9"/>
        <w:numPr>
          <w:ilvl w:val="0"/>
          <w:numId w:val="2"/>
        </w:numPr>
        <w:jc w:val="bot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A→B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C→A</m:t>
                </m:r>
              </m:e>
            </m:d>
            <m:r>
              <w:rPr>
                <w:rFonts w:ascii="Cambria Math" w:hAnsi="Cambria Math"/>
              </w:rPr>
              <m:t>→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C→B</m:t>
                </m:r>
              </m:e>
            </m:d>
          </m:e>
        </m:d>
      </m:oMath>
      <w:r w:rsidR="008D5F2B">
        <w:rPr>
          <w:rFonts w:eastAsiaTheme="minorEastAsia"/>
        </w:rPr>
        <w:tab/>
      </w:r>
      <w:r w:rsidR="008D5F2B">
        <w:rPr>
          <w:rFonts w:eastAsiaTheme="minorEastAsia"/>
        </w:rPr>
        <w:tab/>
        <w:t>Задание префиксов</w:t>
      </w:r>
    </w:p>
    <w:p w:rsidR="008D5F2B" w:rsidRPr="0023667E" w:rsidRDefault="008D5F2B" w:rsidP="0062292A">
      <w:pPr>
        <w:pStyle w:val="a9"/>
        <w:numPr>
          <w:ilvl w:val="0"/>
          <w:numId w:val="2"/>
        </w:numPr>
        <w:jc w:val="both"/>
        <w:rPr>
          <w:lang w:val="en-US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→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⇒</m:t>
        </m:r>
        <m:r>
          <w:rPr>
            <w:rFonts w:ascii="Cambria Math" w:hAnsi="Cambria Math"/>
          </w:rPr>
          <m:t>B</m:t>
        </m:r>
      </m:oMath>
      <w:r w:rsidRPr="0023667E">
        <w:rPr>
          <w:rFonts w:eastAsiaTheme="minorEastAsia"/>
          <w:lang w:val="en-US"/>
        </w:rPr>
        <w:tab/>
      </w:r>
      <w:r w:rsidRPr="0023667E">
        <w:rPr>
          <w:rFonts w:eastAsiaTheme="minorEastAsia"/>
          <w:lang w:val="en-US"/>
        </w:rPr>
        <w:tab/>
      </w:r>
      <w:r w:rsidRPr="0023667E">
        <w:rPr>
          <w:rFonts w:eastAsiaTheme="minorEastAsia"/>
          <w:lang w:val="en-US"/>
        </w:rPr>
        <w:tab/>
      </w:r>
      <w:r w:rsidRPr="0023667E">
        <w:rPr>
          <w:rFonts w:eastAsiaTheme="minorEastAsia"/>
          <w:lang w:val="en-US"/>
        </w:rPr>
        <w:tab/>
      </w:r>
      <w:r w:rsidRPr="0023667E">
        <w:rPr>
          <w:rFonts w:eastAsiaTheme="minorEastAsia"/>
          <w:lang w:val="en-US"/>
        </w:rPr>
        <w:tab/>
      </w:r>
      <w:r w:rsidR="0023667E">
        <w:rPr>
          <w:rFonts w:eastAsiaTheme="minorEastAsia"/>
          <w:lang w:val="en-US"/>
        </w:rPr>
        <w:t>modes ponens</w:t>
      </w:r>
    </w:p>
    <w:p w:rsidR="0023667E" w:rsidRDefault="0023667E" w:rsidP="0023667E">
      <w:pPr>
        <w:jc w:val="both"/>
        <w:rPr>
          <w:rFonts w:eastAsiaTheme="minorEastAsia"/>
        </w:rPr>
      </w:pPr>
      <w:r>
        <w:t>Здесь аксиомы и правила сформированы для традиционной системы Гильберта.</w:t>
      </w:r>
      <w:r w:rsidR="00765E79" w:rsidRPr="00765E79">
        <w:t xml:space="preserve"> </w:t>
      </w:r>
      <w:r w:rsidR="00765E79">
        <w:t xml:space="preserve">Правило </w:t>
      </w:r>
      <w:r w:rsidR="00765E79">
        <w:rPr>
          <w:i/>
          <w:lang w:val="en-US"/>
        </w:rPr>
        <w:t>modes</w:t>
      </w:r>
      <w:r w:rsidR="00765E79" w:rsidRPr="00765E79">
        <w:rPr>
          <w:i/>
        </w:rPr>
        <w:t xml:space="preserve"> </w:t>
      </w:r>
      <w:r w:rsidR="00765E79">
        <w:rPr>
          <w:i/>
          <w:lang w:val="en-US"/>
        </w:rPr>
        <w:t>ponens</w:t>
      </w:r>
      <w:r w:rsidR="00765E79">
        <w:rPr>
          <w:i/>
        </w:rPr>
        <w:t xml:space="preserve"> </w:t>
      </w:r>
      <w:r w:rsidR="00765E79">
        <w:t>написано в виде турникета, для отражения общего определения логического следования в системе Гильберта.</w:t>
      </w:r>
      <w:r w:rsidR="004E206F" w:rsidRPr="004E206F">
        <w:t xml:space="preserve"> </w:t>
      </w:r>
      <w:r w:rsidR="004E206F">
        <w:t xml:space="preserve">Для данного множества </w:t>
      </w:r>
      <w:proofErr w:type="gramStart"/>
      <w:r w:rsidR="004E206F">
        <w:t xml:space="preserve">формул </w:t>
      </w:r>
      <m:oMath>
        <m:r>
          <w:rPr>
            <w:rFonts w:ascii="Cambria Math" w:hAnsi="Cambria Math"/>
          </w:rPr>
          <m:t>X</m:t>
        </m:r>
      </m:oMath>
      <w:r w:rsidR="004E206F">
        <w:rPr>
          <w:rFonts w:eastAsiaTheme="minorEastAsia"/>
        </w:rPr>
        <w:t xml:space="preserve"> и</w:t>
      </w:r>
      <w:proofErr w:type="gramEnd"/>
      <w:r w:rsidR="004E206F">
        <w:rPr>
          <w:rFonts w:eastAsiaTheme="minorEastAsia"/>
        </w:rPr>
        <w:t xml:space="preserve"> формулы </w:t>
      </w:r>
      <m:oMath>
        <m:r>
          <w:rPr>
            <w:rFonts w:ascii="Cambria Math" w:eastAsiaTheme="minorEastAsia" w:hAnsi="Cambria Math"/>
          </w:rPr>
          <m:t>A</m:t>
        </m:r>
      </m:oMath>
      <w:r w:rsidR="004E206F">
        <w:rPr>
          <w:rFonts w:eastAsiaTheme="minorEastAsia"/>
        </w:rPr>
        <w:t xml:space="preserve"> мы говорим, что </w:t>
      </w:r>
      <m:oMath>
        <m:r>
          <w:rPr>
            <w:rFonts w:ascii="Cambria Math" w:eastAsiaTheme="minorEastAsia" w:hAnsi="Cambria Math"/>
          </w:rPr>
          <m:t>A</m:t>
        </m:r>
      </m:oMath>
      <w:r w:rsidR="004E206F">
        <w:rPr>
          <w:rFonts w:eastAsiaTheme="minorEastAsia"/>
        </w:rPr>
        <w:t xml:space="preserve"> может быть доказано из </w:t>
      </w:r>
      <m:oMath>
        <m:r>
          <w:rPr>
            <w:rFonts w:ascii="Cambria Math" w:eastAsiaTheme="minorEastAsia" w:hAnsi="Cambria Math"/>
          </w:rPr>
          <m:t>X</m:t>
        </m:r>
      </m:oMath>
      <w:r w:rsidR="004E206F">
        <w:rPr>
          <w:rFonts w:eastAsiaTheme="minorEastAsia"/>
        </w:rPr>
        <w:t xml:space="preserve"> (что записывается в виде «</w:t>
      </w:r>
      <m:oMath>
        <m:r>
          <w:rPr>
            <w:rFonts w:ascii="Cambria Math" w:eastAsiaTheme="minorEastAsia" w:hAnsi="Cambria Math"/>
          </w:rPr>
          <m:t>X⇒A</m:t>
        </m:r>
      </m:oMath>
      <w:r w:rsidR="004E206F">
        <w:rPr>
          <w:rFonts w:eastAsiaTheme="minorEastAsia"/>
        </w:rPr>
        <w:t>»)</w:t>
      </w:r>
      <w:r w:rsidR="004E206F" w:rsidRPr="004E206F">
        <w:rPr>
          <w:rFonts w:eastAsiaTheme="minorEastAsia"/>
        </w:rPr>
        <w:t xml:space="preserve"> </w:t>
      </w:r>
      <w:r w:rsidR="004E206F">
        <w:rPr>
          <w:rFonts w:eastAsiaTheme="minorEastAsia"/>
        </w:rPr>
        <w:t>если и только если существует доказательство в системе Гильберта</w:t>
      </w:r>
      <w:r w:rsidR="004E206F" w:rsidRPr="004E206F">
        <w:rPr>
          <w:rFonts w:eastAsiaTheme="minorEastAsia"/>
        </w:rPr>
        <w:t xml:space="preserve"> </w:t>
      </w:r>
      <w:r w:rsidR="004E206F">
        <w:rPr>
          <w:rFonts w:eastAsiaTheme="minorEastAsia"/>
          <w:lang w:val="en-US"/>
        </w:rPr>
        <w:t>c</w:t>
      </w:r>
      <w:r w:rsidR="004E206F" w:rsidRPr="004E206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="004E206F">
        <w:rPr>
          <w:rFonts w:eastAsiaTheme="minorEastAsia"/>
        </w:rPr>
        <w:t xml:space="preserve"> в качестве вывода и с гипотезами из множества </w:t>
      </w:r>
      <m:oMath>
        <m:r>
          <w:rPr>
            <w:rFonts w:ascii="Cambria Math" w:eastAsiaTheme="minorEastAsia" w:hAnsi="Cambria Math"/>
          </w:rPr>
          <m:t>X</m:t>
        </m:r>
      </m:oMath>
      <w:r w:rsidR="004E206F">
        <w:rPr>
          <w:rFonts w:eastAsiaTheme="minorEastAsia"/>
        </w:rPr>
        <w:t>.</w:t>
      </w:r>
      <w:r w:rsidR="00F47928" w:rsidRPr="00F47928">
        <w:rPr>
          <w:rFonts w:eastAsiaTheme="minorEastAsia"/>
        </w:rPr>
        <w:t xml:space="preserve"> </w:t>
      </w:r>
      <w:r w:rsidR="00F47928">
        <w:rPr>
          <w:rFonts w:eastAsiaTheme="minorEastAsia"/>
        </w:rPr>
        <w:t>Доказательство их гипотез – это просто список формул, каждая из которых является либо гипотезой, либо аксиомой, либо следует из предыдущих формул в списке с помощью некоторого правила.</w:t>
      </w:r>
      <w:r w:rsidR="00A4465F">
        <w:rPr>
          <w:rFonts w:eastAsiaTheme="minorEastAsia"/>
        </w:rPr>
        <w:t xml:space="preserve"> В системе Орлова единственным правилом является </w:t>
      </w:r>
      <w:r w:rsidR="00A4465F">
        <w:rPr>
          <w:rFonts w:eastAsiaTheme="minorEastAsia"/>
          <w:i/>
          <w:lang w:val="en-US"/>
        </w:rPr>
        <w:t>modes</w:t>
      </w:r>
      <w:r w:rsidR="00A4465F" w:rsidRPr="00397F74">
        <w:rPr>
          <w:rFonts w:eastAsiaTheme="minorEastAsia"/>
          <w:i/>
        </w:rPr>
        <w:t xml:space="preserve"> </w:t>
      </w:r>
      <w:r w:rsidR="00A4465F">
        <w:rPr>
          <w:rFonts w:eastAsiaTheme="minorEastAsia"/>
          <w:i/>
          <w:lang w:val="en-US"/>
        </w:rPr>
        <w:t>ponens</w:t>
      </w:r>
      <w:r w:rsidR="00A4465F">
        <w:rPr>
          <w:rFonts w:eastAsiaTheme="minorEastAsia"/>
        </w:rPr>
        <w:t>.</w:t>
      </w:r>
      <w:r w:rsidR="00397F74">
        <w:rPr>
          <w:rFonts w:eastAsiaTheme="minorEastAsia"/>
        </w:rPr>
        <w:t xml:space="preserve"> Позже мы увидим, что это не это не обязательно наиболее полезное понятие логического следования, применяемые в релевантной и </w:t>
      </w:r>
      <w:proofErr w:type="spellStart"/>
      <w:r w:rsidR="00397F74">
        <w:rPr>
          <w:rFonts w:eastAsiaTheme="minorEastAsia"/>
        </w:rPr>
        <w:t>субструктурной</w:t>
      </w:r>
      <w:proofErr w:type="spellEnd"/>
      <w:r w:rsidR="00397F74">
        <w:rPr>
          <w:rFonts w:eastAsiaTheme="minorEastAsia"/>
        </w:rPr>
        <w:t xml:space="preserve"> логике.</w:t>
      </w:r>
      <w:r w:rsidR="003A2822">
        <w:rPr>
          <w:rFonts w:eastAsiaTheme="minorEastAsia"/>
        </w:rPr>
        <w:t xml:space="preserve"> В частности, более интересные результаты могут быть получены с </w:t>
      </w:r>
      <w:r w:rsidR="00A41FDB">
        <w:rPr>
          <w:rFonts w:eastAsiaTheme="minorEastAsia"/>
        </w:rPr>
        <w:t>отношением следования,</w:t>
      </w:r>
      <w:r w:rsidR="003A2822">
        <w:rPr>
          <w:rFonts w:eastAsiaTheme="minorEastAsia"/>
        </w:rPr>
        <w:t xml:space="preserve"> которо</w:t>
      </w:r>
      <w:r w:rsidR="00A41FDB">
        <w:rPr>
          <w:rFonts w:eastAsiaTheme="minorEastAsia"/>
        </w:rPr>
        <w:t>е</w:t>
      </w:r>
      <w:r w:rsidR="003A2822">
        <w:rPr>
          <w:rFonts w:eastAsiaTheme="minorEastAsia"/>
        </w:rPr>
        <w:t xml:space="preserve"> не просто относятся к множеству формул, данных в качестве условия умозаключения, а скорее </w:t>
      </w:r>
      <w:r w:rsidR="004C5229">
        <w:rPr>
          <w:rFonts w:eastAsiaTheme="minorEastAsia"/>
        </w:rPr>
        <w:t xml:space="preserve">относятся </w:t>
      </w:r>
      <w:proofErr w:type="gramStart"/>
      <w:r w:rsidR="004C5229">
        <w:rPr>
          <w:rFonts w:eastAsiaTheme="minorEastAsia"/>
        </w:rPr>
        <w:t>к список</w:t>
      </w:r>
      <w:proofErr w:type="gramEnd"/>
      <w:r w:rsidR="003A2822">
        <w:rPr>
          <w:rFonts w:eastAsiaTheme="minorEastAsia"/>
        </w:rPr>
        <w:t>, или другими форм</w:t>
      </w:r>
      <w:r w:rsidR="00E536F7">
        <w:rPr>
          <w:rFonts w:eastAsiaTheme="minorEastAsia"/>
        </w:rPr>
        <w:t>ам</w:t>
      </w:r>
      <w:r w:rsidR="003A2822">
        <w:rPr>
          <w:rFonts w:eastAsiaTheme="minorEastAsia"/>
        </w:rPr>
        <w:t>и</w:t>
      </w:r>
      <w:r w:rsidR="00E536F7">
        <w:rPr>
          <w:rFonts w:eastAsiaTheme="minorEastAsia"/>
        </w:rPr>
        <w:t xml:space="preserve"> структурированных коллекций, данных в качестве условий умозаключения.</w:t>
      </w:r>
      <w:r w:rsidR="00692DE9">
        <w:rPr>
          <w:rFonts w:eastAsiaTheme="minorEastAsia"/>
        </w:rPr>
        <w:t xml:space="preserve"> Это потому, что списки и другие структуры могут различать </w:t>
      </w:r>
      <w:r w:rsidR="00692DE9" w:rsidRPr="00692DE9">
        <w:rPr>
          <w:rFonts w:eastAsiaTheme="minorEastAsia"/>
          <w:i/>
        </w:rPr>
        <w:t>порядок</w:t>
      </w:r>
      <w:r w:rsidR="00692DE9">
        <w:rPr>
          <w:rFonts w:eastAsiaTheme="minorEastAsia"/>
        </w:rPr>
        <w:t xml:space="preserve"> и </w:t>
      </w:r>
      <w:r w:rsidR="00692DE9">
        <w:rPr>
          <w:rFonts w:eastAsiaTheme="minorEastAsia"/>
          <w:i/>
        </w:rPr>
        <w:t>количество</w:t>
      </w:r>
      <w:r w:rsidR="00692DE9">
        <w:rPr>
          <w:rFonts w:eastAsiaTheme="minorEastAsia"/>
        </w:rPr>
        <w:t xml:space="preserve"> индивидуальных посылок, в то время, как множества – нет.</w:t>
      </w:r>
      <w:r w:rsidR="00A41FDB">
        <w:rPr>
          <w:rFonts w:eastAsiaTheme="minorEastAsia"/>
        </w:rPr>
        <w:t xml:space="preserve"> Однако это все, что может быть сделано просто в рамках системы Гильберта, так что здесь как раз то место, где начинается наше определение следован</w:t>
      </w:r>
      <w:bookmarkStart w:id="0" w:name="_GoBack"/>
      <w:bookmarkEnd w:id="0"/>
      <w:r w:rsidR="00A41FDB">
        <w:rPr>
          <w:rFonts w:eastAsiaTheme="minorEastAsia"/>
        </w:rPr>
        <w:t>ия.</w:t>
      </w:r>
    </w:p>
    <w:p w:rsidR="00872DC9" w:rsidRDefault="00872DC9" w:rsidP="0023667E">
      <w:pPr>
        <w:jc w:val="both"/>
        <w:rPr>
          <w:rFonts w:eastAsiaTheme="minorEastAsia"/>
        </w:rPr>
      </w:pPr>
      <w:r>
        <w:rPr>
          <w:rFonts w:eastAsiaTheme="minorEastAsia"/>
        </w:rPr>
        <w:t>Эти аксиомы и правила явно не представляют какое-либо понятие релевантности. Вместо этого мы имеем аксиоматическую систему, регулирующую поведение импликации и отрицания.</w:t>
      </w:r>
      <w:r w:rsidR="00B6412C">
        <w:rPr>
          <w:rFonts w:eastAsiaTheme="minorEastAsia"/>
        </w:rPr>
        <w:t xml:space="preserve"> Система говорит о релевантности в силу того, что она нечто не включает в себя, а не потому, что она что-то включает. Ни одна из следующих формул не доказуемых в системе Орлова:</w:t>
      </w:r>
    </w:p>
    <w:p w:rsidR="00386628" w:rsidRDefault="00386628" w:rsidP="0023667E">
      <w:pPr>
        <w:jc w:val="both"/>
        <w:rPr>
          <w:rFonts w:eastAsiaTheme="minorEastAsia"/>
        </w:rPr>
      </w:pPr>
    </w:p>
    <w:p w:rsidR="00386628" w:rsidRDefault="00386628" w:rsidP="00386628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A→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B→B</m:t>
            </m: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~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B→B</m:t>
            </m:r>
          </m:e>
        </m:d>
        <m:r>
          <w:rPr>
            <w:rFonts w:ascii="Cambria Math" w:eastAsiaTheme="minorEastAsia" w:hAnsi="Cambria Math"/>
          </w:rPr>
          <m:t>→A</m:t>
        </m:r>
      </m:oMath>
    </w:p>
    <w:p w:rsidR="00386628" w:rsidRDefault="00386628" w:rsidP="00386628">
      <w:pPr>
        <w:jc w:val="center"/>
        <w:rPr>
          <w:rFonts w:eastAsiaTheme="minorEastAsia"/>
        </w:rPr>
      </w:pPr>
    </w:p>
    <w:p w:rsidR="00386628" w:rsidRPr="004C5229" w:rsidRDefault="00386628" w:rsidP="00B17036">
      <w:pPr>
        <w:jc w:val="both"/>
      </w:pPr>
      <w:r>
        <w:t>Это отличает его логику как от классической, так и от интуиционистской логики высказываний</w:t>
      </w:r>
      <w:r w:rsidR="00EF6948">
        <w:rPr>
          <w:rStyle w:val="a8"/>
        </w:rPr>
        <w:footnoteReference w:id="7"/>
      </w:r>
      <w:r w:rsidR="003B1168">
        <w:t>.</w:t>
      </w:r>
      <w:r w:rsidR="00B17036" w:rsidRPr="00B17036">
        <w:t xml:space="preserve"> </w:t>
      </w:r>
      <w:r w:rsidR="00B17036">
        <w:t>Если «</w:t>
      </w:r>
      <m:oMath>
        <m:r>
          <w:rPr>
            <w:rFonts w:ascii="Cambria Math" w:hAnsi="Cambria Math"/>
          </w:rPr>
          <m:t>→</m:t>
        </m:r>
      </m:oMath>
      <w:r w:rsidR="00B17036">
        <w:rPr>
          <w:rFonts w:eastAsiaTheme="minorEastAsia"/>
        </w:rPr>
        <w:t>» читать либо как материальную импликацию, либо как импликацию интуиционистской логики, формулы доказуемы.</w:t>
      </w:r>
      <w:r w:rsidR="006364AE" w:rsidRPr="006364AE">
        <w:rPr>
          <w:rFonts w:eastAsiaTheme="minorEastAsia"/>
        </w:rPr>
        <w:t xml:space="preserve"> </w:t>
      </w:r>
      <w:r w:rsidR="006364AE">
        <w:rPr>
          <w:rFonts w:eastAsiaTheme="minorEastAsia"/>
        </w:rPr>
        <w:t>Однако обе этих формулы терпят очевидную неудачу в релевантности.</w:t>
      </w:r>
      <w:r w:rsidR="002268FE" w:rsidRPr="002268FE">
        <w:rPr>
          <w:rFonts w:eastAsiaTheme="minorEastAsia"/>
        </w:rPr>
        <w:t xml:space="preserve"> </w:t>
      </w:r>
      <w:proofErr w:type="spellStart"/>
      <w:r w:rsidR="002268FE">
        <w:rPr>
          <w:rFonts w:eastAsiaTheme="minorEastAsia"/>
        </w:rPr>
        <w:t>Консеквент</w:t>
      </w:r>
      <w:proofErr w:type="spellEnd"/>
      <w:r w:rsidR="002268FE">
        <w:rPr>
          <w:rFonts w:eastAsiaTheme="minorEastAsia"/>
        </w:rPr>
        <w:t xml:space="preserve"> основного условия не имеет ничего общего с антецедентом.</w:t>
      </w:r>
    </w:p>
    <w:sectPr w:rsidR="00386628" w:rsidRPr="004C5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0C36" w:rsidRDefault="00C90C36" w:rsidP="00B34FB1">
      <w:pPr>
        <w:spacing w:after="0" w:line="240" w:lineRule="auto"/>
      </w:pPr>
      <w:r>
        <w:separator/>
      </w:r>
    </w:p>
  </w:endnote>
  <w:endnote w:type="continuationSeparator" w:id="0">
    <w:p w:rsidR="00C90C36" w:rsidRDefault="00C90C36" w:rsidP="00B34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0C36" w:rsidRDefault="00C90C36" w:rsidP="00B34FB1">
      <w:pPr>
        <w:spacing w:after="0" w:line="240" w:lineRule="auto"/>
      </w:pPr>
      <w:r>
        <w:separator/>
      </w:r>
    </w:p>
  </w:footnote>
  <w:footnote w:type="continuationSeparator" w:id="0">
    <w:p w:rsidR="00C90C36" w:rsidRDefault="00C90C36" w:rsidP="00B34FB1">
      <w:pPr>
        <w:spacing w:after="0" w:line="240" w:lineRule="auto"/>
      </w:pPr>
      <w:r>
        <w:continuationSeparator/>
      </w:r>
    </w:p>
  </w:footnote>
  <w:footnote w:id="1">
    <w:p w:rsidR="00B34FB1" w:rsidRDefault="00B34FB1" w:rsidP="00CF73B6">
      <w:pPr>
        <w:pStyle w:val="a6"/>
        <w:jc w:val="both"/>
      </w:pPr>
      <w:r>
        <w:rPr>
          <w:rStyle w:val="a8"/>
        </w:rPr>
        <w:footnoteRef/>
      </w:r>
      <w:r>
        <w:t xml:space="preserve"> Это исследование поддерживается Австралийским Исследовательским Советом с </w:t>
      </w:r>
      <w:r w:rsidR="00CF73B6">
        <w:t>п</w:t>
      </w:r>
      <w:r>
        <w:t>омощ</w:t>
      </w:r>
      <w:r w:rsidR="00CF73B6">
        <w:t xml:space="preserve">ью программы больших грантов. Выражаю так же благодарность </w:t>
      </w:r>
      <w:proofErr w:type="spellStart"/>
      <w:r w:rsidR="00CF73B6">
        <w:t>Нуелу</w:t>
      </w:r>
      <w:proofErr w:type="spellEnd"/>
      <w:r w:rsidR="00CF73B6">
        <w:t xml:space="preserve"> </w:t>
      </w:r>
      <w:proofErr w:type="spellStart"/>
      <w:r w:rsidR="00CF73B6">
        <w:t>Белнапу</w:t>
      </w:r>
      <w:proofErr w:type="spellEnd"/>
      <w:r w:rsidR="00CF73B6">
        <w:t xml:space="preserve">, Майку </w:t>
      </w:r>
      <w:proofErr w:type="spellStart"/>
      <w:r w:rsidR="00CF73B6">
        <w:t>Данну</w:t>
      </w:r>
      <w:proofErr w:type="spellEnd"/>
      <w:r w:rsidR="00CF73B6">
        <w:t xml:space="preserve">, Бобу Мейеру, </w:t>
      </w:r>
      <w:proofErr w:type="spellStart"/>
      <w:r w:rsidR="00CF73B6">
        <w:t>Грехему</w:t>
      </w:r>
      <w:proofErr w:type="spellEnd"/>
      <w:r w:rsidR="00CF73B6">
        <w:t xml:space="preserve"> </w:t>
      </w:r>
      <w:proofErr w:type="spellStart"/>
      <w:r w:rsidR="00CF73B6">
        <w:t>Присту</w:t>
      </w:r>
      <w:proofErr w:type="spellEnd"/>
      <w:r w:rsidR="00CF73B6">
        <w:t xml:space="preserve">, Стивену Риду и Джону </w:t>
      </w:r>
      <w:proofErr w:type="spellStart"/>
      <w:r w:rsidR="00CF73B6">
        <w:t>Слейни</w:t>
      </w:r>
      <w:proofErr w:type="spellEnd"/>
      <w:r w:rsidR="00CF73B6">
        <w:t xml:space="preserve"> за множество приятных разговоров на эти темы.</w:t>
      </w:r>
    </w:p>
    <w:p w:rsidR="00CF73B6" w:rsidRPr="00EC1645" w:rsidRDefault="00CF73B6" w:rsidP="00CF73B6">
      <w:pPr>
        <w:pStyle w:val="a6"/>
        <w:ind w:firstLine="142"/>
        <w:jc w:val="both"/>
      </w:pPr>
      <w:r>
        <w:t xml:space="preserve">Это набросок статьи, который не предназначен для цитирования без особых разрешений. </w:t>
      </w:r>
      <w:r w:rsidR="00BF4F33">
        <w:t>Некоторые детали</w:t>
      </w:r>
      <w:r w:rsidR="00EC1645">
        <w:t xml:space="preserve"> требуют серьезной переработки</w:t>
      </w:r>
      <w:r w:rsidR="00BF4F33">
        <w:t xml:space="preserve"> перед публикацией. Если Вы хотите процитировать </w:t>
      </w:r>
      <w:r w:rsidR="00EC1645">
        <w:t>данную</w:t>
      </w:r>
      <w:r w:rsidR="00BF4F33">
        <w:t xml:space="preserve"> версию, пожалуйста, свяжитесь со ной. Я надеюсь, что закончу подготовку исправленной версии до конца 2001 года.</w:t>
      </w:r>
      <w:r w:rsidR="00BF4F33" w:rsidRPr="00BF4F33">
        <w:t xml:space="preserve"> </w:t>
      </w:r>
      <w:r w:rsidR="00BF4F33">
        <w:t>Прежде, чем слать мне по электронной почте список ошибок, проверьте, пожалуйста, мой сайт для получения обновленной копии.</w:t>
      </w:r>
      <w:r w:rsidR="00EC1645" w:rsidRPr="00EC1645">
        <w:t xml:space="preserve"> </w:t>
      </w:r>
      <w:r w:rsidR="00EC1645">
        <w:t>Но как только проверили – непременно пишите!</w:t>
      </w:r>
    </w:p>
  </w:footnote>
  <w:footnote w:id="2">
    <w:p w:rsidR="00715393" w:rsidRPr="00715393" w:rsidRDefault="00715393" w:rsidP="00715393">
      <w:pPr>
        <w:pStyle w:val="a6"/>
        <w:jc w:val="both"/>
      </w:pPr>
      <w:r>
        <w:rPr>
          <w:rStyle w:val="a8"/>
        </w:rPr>
        <w:footnoteRef/>
      </w:r>
      <w:r>
        <w:t xml:space="preserve"> Заголовок </w:t>
      </w:r>
      <w:r>
        <w:rPr>
          <w:i/>
        </w:rPr>
        <w:t xml:space="preserve">Релевантная и </w:t>
      </w:r>
      <w:proofErr w:type="spellStart"/>
      <w:r>
        <w:rPr>
          <w:i/>
        </w:rPr>
        <w:t>субструктурная</w:t>
      </w:r>
      <w:proofErr w:type="spellEnd"/>
      <w:r>
        <w:rPr>
          <w:i/>
        </w:rPr>
        <w:t xml:space="preserve"> логика</w:t>
      </w:r>
      <w:r>
        <w:t xml:space="preserve"> не читается в той же самой манере, как «яблоки и апельсины» или «Австралия и Новая Зеландия».</w:t>
      </w:r>
      <w:r w:rsidRPr="00715393">
        <w:t xml:space="preserve"> </w:t>
      </w:r>
      <w:r>
        <w:t xml:space="preserve">Это больше похоже на «яблоки и фрукты» или «Австралия и Тихоокеанский регион». Это история </w:t>
      </w:r>
      <w:proofErr w:type="spellStart"/>
      <w:r>
        <w:t>субструктурной</w:t>
      </w:r>
      <w:proofErr w:type="spellEnd"/>
      <w:r>
        <w:t xml:space="preserve"> логики с уклоном на релевантную логику, или наоборот, история релевантной логики в ее место в более широком классе </w:t>
      </w:r>
      <w:proofErr w:type="spellStart"/>
      <w:r>
        <w:t>субструктурной</w:t>
      </w:r>
      <w:proofErr w:type="spellEnd"/>
      <w:r>
        <w:t xml:space="preserve"> логики.</w:t>
      </w:r>
    </w:p>
  </w:footnote>
  <w:footnote w:id="3">
    <w:p w:rsidR="009B5331" w:rsidRPr="00A76C83" w:rsidRDefault="009B5331" w:rsidP="001E33FE">
      <w:pPr>
        <w:pStyle w:val="a6"/>
        <w:jc w:val="both"/>
      </w:pPr>
      <w:r>
        <w:rPr>
          <w:rStyle w:val="a8"/>
        </w:rPr>
        <w:footnoteRef/>
      </w:r>
      <w:r>
        <w:t xml:space="preserve"> Иногда это описывается как различие между синтаксисом и семантикой.</w:t>
      </w:r>
      <w:r w:rsidR="001E33FE" w:rsidRPr="001E33FE">
        <w:t xml:space="preserve"> </w:t>
      </w:r>
      <w:r w:rsidR="001E33FE">
        <w:t>Однако это идет в разрез с истинной.</w:t>
      </w:r>
      <w:r w:rsidR="001E33FE" w:rsidRPr="001E33FE">
        <w:t xml:space="preserve"> </w:t>
      </w:r>
      <w:r w:rsidR="001E33FE">
        <w:t>На первый взгляд, правила доказательств имеют</w:t>
      </w:r>
      <w:r w:rsidR="00A76C83">
        <w:t xml:space="preserve"> столько же общего со значением связок, как и с теоретико-модельными условиями. Правила интерпретации формального языка на модели обращают столько же внимания на синтаксис, как и любая теория доказательств.</w:t>
      </w:r>
    </w:p>
  </w:footnote>
  <w:footnote w:id="4">
    <w:p w:rsidR="008A113E" w:rsidRPr="008A113E" w:rsidRDefault="008A113E" w:rsidP="00663C33">
      <w:pPr>
        <w:pStyle w:val="a6"/>
        <w:jc w:val="both"/>
      </w:pPr>
      <w:r>
        <w:rPr>
          <w:rStyle w:val="a8"/>
        </w:rPr>
        <w:footnoteRef/>
      </w:r>
      <w:r>
        <w:t xml:space="preserve"> В частности, я немного скажу об интеллектуальном происхождении различных результатов.</w:t>
      </w:r>
      <w:r w:rsidRPr="008A113E">
        <w:t xml:space="preserve"> </w:t>
      </w:r>
      <w:r>
        <w:t>Я не буду отслеживать степень, в которой исследователи разных школ влияют друг на друга.</w:t>
      </w:r>
    </w:p>
  </w:footnote>
  <w:footnote w:id="5">
    <w:p w:rsidR="00663C33" w:rsidRPr="00663C33" w:rsidRDefault="00663C33" w:rsidP="00663C33">
      <w:pPr>
        <w:pStyle w:val="a6"/>
        <w:jc w:val="both"/>
      </w:pPr>
      <w:r>
        <w:rPr>
          <w:rStyle w:val="a8"/>
        </w:rPr>
        <w:footnoteRef/>
      </w:r>
      <w:r>
        <w:t xml:space="preserve"> Аллен </w:t>
      </w:r>
      <w:proofErr w:type="spellStart"/>
      <w:r>
        <w:t>Хайзен</w:t>
      </w:r>
      <w:proofErr w:type="spellEnd"/>
      <w:r>
        <w:t xml:space="preserve"> показал, что в работе Рассела 1906 года «Теория импликации» его логика высказываний (без отрицания) свободна от структурного правила сокращения </w:t>
      </w:r>
      <w:r w:rsidRPr="00663C33">
        <w:t>[133, 243].</w:t>
      </w:r>
    </w:p>
  </w:footnote>
  <w:footnote w:id="6">
    <w:p w:rsidR="008A4CDF" w:rsidRPr="00CA0491" w:rsidRDefault="008A4CDF" w:rsidP="00CA0491">
      <w:pPr>
        <w:pStyle w:val="a6"/>
        <w:jc w:val="both"/>
      </w:pPr>
      <w:r>
        <w:rPr>
          <w:rStyle w:val="a8"/>
        </w:rPr>
        <w:footnoteRef/>
      </w:r>
      <w:r>
        <w:t xml:space="preserve"> </w:t>
      </w:r>
      <w:r w:rsidR="00CA0491">
        <w:t xml:space="preserve">Названия мои, а не Орлова. Я попытался дать каждой аксиоме и правилу его общее имя (для списка аксиом и их названий смотри, например, </w:t>
      </w:r>
      <w:r w:rsidR="00CA0491" w:rsidRPr="00CA0491">
        <w:rPr>
          <w:i/>
        </w:rPr>
        <w:t>Логическое следование</w:t>
      </w:r>
      <w:r w:rsidR="00CA0491">
        <w:t xml:space="preserve"> Андерсона и </w:t>
      </w:r>
      <w:proofErr w:type="spellStart"/>
      <w:r w:rsidR="00CA0491">
        <w:t>Белнапа</w:t>
      </w:r>
      <w:proofErr w:type="spellEnd"/>
      <w:r w:rsidR="00CA0491">
        <w:t xml:space="preserve"> </w:t>
      </w:r>
      <w:r w:rsidR="00CA0491" w:rsidRPr="00CA0491">
        <w:t>[10]</w:t>
      </w:r>
      <w:r w:rsidR="00CA0491">
        <w:t xml:space="preserve">). В данном случае «приведение к </w:t>
      </w:r>
      <w:proofErr w:type="spellStart"/>
      <w:r w:rsidR="00CA0491">
        <w:t>контрпримеру</w:t>
      </w:r>
      <w:proofErr w:type="spellEnd"/>
      <w:r w:rsidR="00CA0491">
        <w:t xml:space="preserve">» - мое названия, так как </w:t>
      </w:r>
      <w:proofErr w:type="gramStart"/>
      <w:r w:rsidR="00CA0491">
        <w:t xml:space="preserve">аксиома </w:t>
      </w:r>
      <m:oMath>
        <m:r>
          <w:rPr>
            <w:rFonts w:ascii="Cambria Math" w:hAnsi="Cambria Math"/>
          </w:rPr>
          <m:t>A→~(A→~A)</m:t>
        </m:r>
      </m:oMath>
      <w:r w:rsidR="00CA0491">
        <w:rPr>
          <w:rFonts w:eastAsiaTheme="minorEastAsia"/>
        </w:rPr>
        <w:t xml:space="preserve"> достаточно</w:t>
      </w:r>
      <w:proofErr w:type="gramEnd"/>
      <w:r w:rsidR="00CA0491">
        <w:rPr>
          <w:rFonts w:eastAsiaTheme="minorEastAsia"/>
        </w:rPr>
        <w:t xml:space="preserve"> редкая, однако ее противопоставленная форма </w:t>
      </w:r>
      <m:oMath>
        <m:r>
          <w:rPr>
            <w:rFonts w:ascii="Cambria Math" w:hAnsi="Cambria Math"/>
          </w:rPr>
          <m:t>(A→~A)→~A</m:t>
        </m:r>
      </m:oMath>
      <w:r w:rsidR="00CA0491">
        <w:rPr>
          <w:rFonts w:eastAsiaTheme="minorEastAsia"/>
        </w:rPr>
        <w:t xml:space="preserve"> широко известна как аксиома приведения.</w:t>
      </w:r>
    </w:p>
  </w:footnote>
  <w:footnote w:id="7">
    <w:p w:rsidR="00EF6948" w:rsidRPr="004C5229" w:rsidRDefault="00EF6948">
      <w:pPr>
        <w:pStyle w:val="a6"/>
      </w:pPr>
      <w:r>
        <w:rPr>
          <w:rStyle w:val="a8"/>
        </w:rPr>
        <w:footnoteRef/>
      </w:r>
      <w:r>
        <w:t xml:space="preserve"> Оригинальный текст Гейтинга, датированный началом века, до сих пор является классическим введением в интуиционистскую логику.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3C3963"/>
    <w:multiLevelType w:val="hybridMultilevel"/>
    <w:tmpl w:val="1304DFAA"/>
    <w:lvl w:ilvl="0" w:tplc="DAB884FA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C407F"/>
    <w:multiLevelType w:val="multilevel"/>
    <w:tmpl w:val="FD3EF1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FB1"/>
    <w:rsid w:val="0001284B"/>
    <w:rsid w:val="00055AC2"/>
    <w:rsid w:val="00074019"/>
    <w:rsid w:val="001101AC"/>
    <w:rsid w:val="001445CE"/>
    <w:rsid w:val="001B2E22"/>
    <w:rsid w:val="001E33FE"/>
    <w:rsid w:val="001E6F93"/>
    <w:rsid w:val="002268FE"/>
    <w:rsid w:val="002337F9"/>
    <w:rsid w:val="0023667E"/>
    <w:rsid w:val="002E3100"/>
    <w:rsid w:val="00386628"/>
    <w:rsid w:val="0039421F"/>
    <w:rsid w:val="00397F74"/>
    <w:rsid w:val="003A2822"/>
    <w:rsid w:val="003B1168"/>
    <w:rsid w:val="003D1732"/>
    <w:rsid w:val="00425553"/>
    <w:rsid w:val="00490B95"/>
    <w:rsid w:val="004C3187"/>
    <w:rsid w:val="004C5229"/>
    <w:rsid w:val="004E206F"/>
    <w:rsid w:val="004F5B21"/>
    <w:rsid w:val="0062292A"/>
    <w:rsid w:val="006364AE"/>
    <w:rsid w:val="0065540E"/>
    <w:rsid w:val="00663C33"/>
    <w:rsid w:val="00687F02"/>
    <w:rsid w:val="00692DE9"/>
    <w:rsid w:val="006F45BE"/>
    <w:rsid w:val="00713D03"/>
    <w:rsid w:val="00715393"/>
    <w:rsid w:val="00765E79"/>
    <w:rsid w:val="007B475A"/>
    <w:rsid w:val="00816267"/>
    <w:rsid w:val="00872DC9"/>
    <w:rsid w:val="00890B56"/>
    <w:rsid w:val="008A113E"/>
    <w:rsid w:val="008A4CDF"/>
    <w:rsid w:val="008A641A"/>
    <w:rsid w:val="008D5F2B"/>
    <w:rsid w:val="00954847"/>
    <w:rsid w:val="00961951"/>
    <w:rsid w:val="009B5331"/>
    <w:rsid w:val="00A41FDB"/>
    <w:rsid w:val="00A4465F"/>
    <w:rsid w:val="00A44E33"/>
    <w:rsid w:val="00A76C83"/>
    <w:rsid w:val="00AC7319"/>
    <w:rsid w:val="00B10D49"/>
    <w:rsid w:val="00B17036"/>
    <w:rsid w:val="00B34FB1"/>
    <w:rsid w:val="00B51911"/>
    <w:rsid w:val="00B6412C"/>
    <w:rsid w:val="00B65C0D"/>
    <w:rsid w:val="00BF4F33"/>
    <w:rsid w:val="00C63479"/>
    <w:rsid w:val="00C83E49"/>
    <w:rsid w:val="00C90C36"/>
    <w:rsid w:val="00CA0491"/>
    <w:rsid w:val="00CF73B6"/>
    <w:rsid w:val="00E1595E"/>
    <w:rsid w:val="00E2767E"/>
    <w:rsid w:val="00E536F7"/>
    <w:rsid w:val="00E73F43"/>
    <w:rsid w:val="00EC1645"/>
    <w:rsid w:val="00EF6948"/>
    <w:rsid w:val="00F47928"/>
    <w:rsid w:val="00FB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FDBA67-9E60-40CB-B1AD-C3E7FEA8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2E22"/>
  </w:style>
  <w:style w:type="paragraph" w:styleId="1">
    <w:name w:val="heading 1"/>
    <w:basedOn w:val="a"/>
    <w:next w:val="a"/>
    <w:link w:val="10"/>
    <w:uiPriority w:val="9"/>
    <w:qFormat/>
    <w:rsid w:val="009B53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73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"/>
    <w:autoRedefine/>
    <w:qFormat/>
    <w:rsid w:val="009B5331"/>
    <w:pPr>
      <w:spacing w:after="0" w:line="240" w:lineRule="auto"/>
    </w:pPr>
    <w:rPr>
      <w:rFonts w:ascii="Times New Roman" w:hAnsi="Times New Roman"/>
      <w:sz w:val="24"/>
    </w:rPr>
  </w:style>
  <w:style w:type="paragraph" w:styleId="a4">
    <w:name w:val="Title"/>
    <w:basedOn w:val="a"/>
    <w:next w:val="a"/>
    <w:link w:val="a5"/>
    <w:uiPriority w:val="10"/>
    <w:qFormat/>
    <w:rsid w:val="00B34F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B3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footnote text"/>
    <w:basedOn w:val="a"/>
    <w:link w:val="a7"/>
    <w:uiPriority w:val="99"/>
    <w:semiHidden/>
    <w:unhideWhenUsed/>
    <w:rsid w:val="00B34FB1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B34FB1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B34FB1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9B53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C73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List Paragraph"/>
    <w:basedOn w:val="a"/>
    <w:uiPriority w:val="34"/>
    <w:qFormat/>
    <w:rsid w:val="0062292A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6229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5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ффф23</b:Tag>
    <b:SourceType>Book</b:SourceType>
    <b:Guid>{33DC4131-47B9-4756-BE1F-403BD4AB1C1C}</b:Guid>
    <b:Author>
      <b:Author>
        <b:NameList>
          <b:Person>
            <b:Last>фффффф</b:Last>
          </b:Person>
        </b:NameList>
      </b:Author>
    </b:Author>
    <b:Title>нннн</b:Title>
    <b:Year>123</b:Year>
    <b:City>мавы</b:City>
    <b:Publisher>вав</b:Publisher>
    <b:RefOrder>1</b:RefOrder>
  </b:Source>
</b:Sources>
</file>

<file path=customXml/itemProps1.xml><?xml version="1.0" encoding="utf-8"?>
<ds:datastoreItem xmlns:ds="http://schemas.openxmlformats.org/officeDocument/2006/customXml" ds:itemID="{F5CF1BA2-B0A1-40D6-B023-A764AF8D7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Затонский</cp:lastModifiedBy>
  <cp:revision>3</cp:revision>
  <dcterms:created xsi:type="dcterms:W3CDTF">2016-04-04T10:46:00Z</dcterms:created>
  <dcterms:modified xsi:type="dcterms:W3CDTF">2016-04-04T12:35:00Z</dcterms:modified>
</cp:coreProperties>
</file>