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Calibri"/>
          <w:b/>
          <w:color w:val="2E74B5"/>
          <w:sz w:val="20"/>
        </w:rPr>
        <w:t>ФИНАЛЬНЫЙ ОТЧЁТ О ВЫПОЛНЕННОЙ РАБОТЕ</w:t>
      </w:r>
    </w:p>
    <w:p>
      <w:pPr>
        <w:keepNext/>
        <w:spacing w:before="0" w:after="80"/>
      </w:pPr>
      <w:r>
        <w:rPr>
          <w:rFonts w:ascii="Calibri" w:hAnsi="Calibri" w:eastAsia="Calibri"/>
          <w:b/>
          <w:color w:val="000000"/>
          <w:sz w:val="50"/>
        </w:rPr>
        <w:t>CaptivPortal</w:t>
      </w:r>
    </w:p>
    <w:p>
      <w:pPr>
        <w:keepNext/>
        <w:spacing w:before="0" w:after="320"/>
      </w:pPr>
      <w:r>
        <w:rPr>
          <w:rFonts w:ascii="Calibri" w:hAnsi="Calibri" w:eastAsia="Calibri"/>
          <w:color w:val="5B6573"/>
          <w:sz w:val="28"/>
        </w:rPr>
        <w:t>Интеграция проектной базы знаний и финальная верификация Pending Client Session Cleaner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00000"/>
          <w:sz w:val="21"/>
        </w:rPr>
        <w:t xml:space="preserve">Кому: </w:t>
      </w:r>
      <w:r>
        <w:rPr>
          <w:rFonts w:ascii="Calibri" w:hAnsi="Calibri" w:eastAsia="Calibri"/>
          <w:color w:val="000000"/>
          <w:sz w:val="21"/>
        </w:rPr>
        <w:t>Архитектору и техническому лидеру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00000"/>
          <w:sz w:val="21"/>
        </w:rPr>
        <w:t xml:space="preserve">Дата: </w:t>
      </w:r>
      <w:r>
        <w:rPr>
          <w:rFonts w:ascii="Calibri" w:hAnsi="Calibri" w:eastAsia="Calibri"/>
          <w:color w:val="000000"/>
          <w:sz w:val="21"/>
        </w:rPr>
        <w:t>4 августа 2026 года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00000"/>
          <w:sz w:val="21"/>
        </w:rPr>
        <w:t xml:space="preserve">Статус: </w:t>
      </w:r>
      <w:r>
        <w:rPr>
          <w:rFonts w:ascii="Calibri" w:hAnsi="Calibri" w:eastAsia="Calibri"/>
          <w:color w:val="000000"/>
          <w:sz w:val="21"/>
        </w:rPr>
        <w:t>Работа завершена; merge в основную ветку подтверждён владельцем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00000"/>
          <w:sz w:val="21"/>
        </w:rPr>
        <w:t xml:space="preserve">Runtime baseline: </w:t>
      </w:r>
      <w:r>
        <w:rPr>
          <w:rFonts w:ascii="Calibri" w:hAnsi="Calibri" w:eastAsia="Calibri"/>
          <w:color w:val="000000"/>
          <w:sz w:val="21"/>
        </w:rPr>
        <w:t>main 227ebe9 (после merge Cleaner и удаления временного probe)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00000"/>
          <w:sz w:val="21"/>
        </w:rPr>
        <w:t xml:space="preserve">Knowledge-base commit: </w:t>
      </w:r>
      <w:r>
        <w:rPr>
          <w:rFonts w:ascii="Calibri" w:hAnsi="Calibri" w:eastAsia="Calibri"/>
          <w:color w:val="000000"/>
          <w:sz w:val="21"/>
        </w:rPr>
        <w:t>4219821, ветка feature/project-knowledge-base</w:t>
      </w:r>
    </w:p>
    <w:p>
      <w:pPr>
        <w:spacing w:after="80"/>
      </w:pPr>
    </w:p>
    <w:p>
      <w:pPr>
        <w:spacing w:before="100" w:after="160" w:line="264" w:lineRule="auto"/>
        <w:ind w:left="144" w:right="144"/>
        <w:shd w:fill="F4F6F9" w:val="clear"/>
        <w:pBdr>
          <w:top w:val="single" w:sz="4" w:space="5" w:color="D2DAE3"/>
          <w:left w:val="single" w:sz="4" w:space="5" w:color="D2DAE3"/>
          <w:bottom w:val="single" w:sz="4" w:space="5" w:color="D2DAE3"/>
          <w:right w:val="single" w:sz="4" w:space="5" w:color="D2DAE3"/>
        </w:pBdr>
        <w:keepLines/>
      </w:pPr>
      <w:r>
        <w:rPr>
          <w:rFonts w:ascii="Calibri" w:hAnsi="Calibri" w:eastAsia="Calibri"/>
          <w:b/>
          <w:color w:val="1F4D78"/>
          <w:sz w:val="22"/>
        </w:rPr>
        <w:t xml:space="preserve">Итог: </w:t>
      </w:r>
      <w:r>
        <w:rPr>
          <w:rFonts w:ascii="Calibri" w:hAnsi="Calibri" w:eastAsia="Calibri"/>
          <w:color w:val="1F2937"/>
          <w:sz w:val="22"/>
        </w:rPr>
        <w:t>В репозиторий встроена единая нормативная база знаний, привязанная к фактическому коду и тестам. Она описывает текущую архитектуру, модули, Omada Open API, тестирование, эксплуатационные границы и правила работы coding agents. Документационный commit не изменил бизнес-логику, API, JSONL/SQLite-схемы, Alloy/Loki/Grafana или production systemd.</w:t>
      </w:r>
    </w:p>
    <w:p>
      <w:pPr>
        <w:pStyle w:val="Heading1"/>
        <w:keepNext/>
        <w:keepLines/>
      </w:pPr>
      <w:r>
        <w:t>1. Резюме для руководителей</w:t>
      </w:r>
    </w:p>
    <w:p>
      <w:pPr>
        <w:spacing w:before="0" w:after="160" w:line="280" w:lineRule="auto"/>
        <w:numPr>
          <w:ilvl w:val="0"/>
          <w:numId w:val="10"/>
        </w:numPr>
        <w:keepLines/>
      </w:pPr>
      <w:r>
        <w:rPr>
          <w:rFonts w:ascii="Calibri" w:hAnsi="Calibri" w:eastAsia="Calibri"/>
          <w:color w:val="1F2937"/>
          <w:sz w:val="22"/>
        </w:rPr>
        <w:t>Проанализированы 13 исходных материалов: архитектурные ТЗ Visitor Registry, отчёты Omada Open API, исследование сброса сессии, финальное ТЗ Cleaner, временные probe-артефакты, Grafana dashboard и отдельное ТЗ проектной базы знаний.</w:t>
      </w:r>
    </w:p>
    <w:p>
      <w:pPr>
        <w:spacing w:before="0" w:after="160" w:line="280" w:lineRule="auto"/>
        <w:numPr>
          <w:ilvl w:val="0"/>
          <w:numId w:val="10"/>
        </w:numPr>
        <w:keepLines/>
      </w:pPr>
      <w:r>
        <w:rPr>
          <w:rFonts w:ascii="Calibri" w:hAnsi="Calibri" w:eastAsia="Calibri"/>
          <w:color w:val="1F2937"/>
          <w:sz w:val="22"/>
        </w:rPr>
        <w:t>Экспериментально подтверждён безопасный механизм завершения зависшей неавторизованной сессии: fresh client GET → guarded POST reconnect → bounded verification. Reconnect закрывает активную сессию, но не блокирует MAC и не удаляет историческую карточку.</w:t>
      </w:r>
    </w:p>
    <w:p>
      <w:pPr>
        <w:spacing w:before="0" w:after="160" w:line="280" w:lineRule="auto"/>
        <w:numPr>
          <w:ilvl w:val="0"/>
          <w:numId w:val="10"/>
        </w:numPr>
        <w:keepLines/>
      </w:pPr>
      <w:r>
        <w:rPr>
          <w:rFonts w:ascii="Calibri" w:hAnsi="Calibri" w:eastAsia="Calibri"/>
          <w:color w:val="1F2937"/>
          <w:sz w:val="22"/>
        </w:rPr>
        <w:t>Финальная реализация Cleaner сверена с merged-кодом: один OmadaProvider, общий потокобезопасный token cache на Condition(RLock), полный paginated inventory, две local-protection проверки, fresh preflight, audit-before-action, reconnect-only policy и fail-open lifecycle.</w:t>
      </w:r>
    </w:p>
    <w:p>
      <w:pPr>
        <w:spacing w:before="0" w:after="160" w:line="280" w:lineRule="auto"/>
        <w:numPr>
          <w:ilvl w:val="0"/>
          <w:numId w:val="10"/>
        </w:numPr>
        <w:keepLines/>
      </w:pPr>
      <w:r>
        <w:rPr>
          <w:rFonts w:ascii="Calibri" w:hAnsi="Calibri" w:eastAsia="Calibri"/>
          <w:color w:val="1F2937"/>
          <w:sz w:val="22"/>
        </w:rPr>
        <w:t>Интегрирована база знаний: 55 файлов, 2428 добавлений и 41 удаление устаревшего README-текста; runtime diff — 0 файлов.</w:t>
      </w:r>
    </w:p>
    <w:p>
      <w:pPr>
        <w:spacing w:before="0" w:after="160" w:line="280" w:lineRule="auto"/>
        <w:numPr>
          <w:ilvl w:val="0"/>
          <w:numId w:val="10"/>
        </w:numPr>
        <w:keepLines/>
      </w:pPr>
      <w:r>
        <w:rPr>
          <w:rFonts w:ascii="Calibri" w:hAnsi="Calibri" w:eastAsia="Calibri"/>
          <w:color w:val="1F2937"/>
          <w:sz w:val="22"/>
        </w:rPr>
        <w:t>Зафиксирован честный test status: targeted Cleaner suite — 64 passed; полный серверный прогон — 866 passed, 10 skipped, 4 failed. Четыре падения относятся к Visitor Registry и требуют отдельной работы техлида.</w:t>
      </w:r>
    </w:p>
    <w:p>
      <w:pPr>
        <w:pStyle w:val="Heading1"/>
        <w:keepNext/>
        <w:keepLines/>
      </w:pPr>
      <w:r>
        <w:t>2. Границы и исходные материалы</w:t>
      </w:r>
    </w:p>
    <w:p>
      <w:pPr>
        <w:spacing w:before="0" w:after="120" w:line="264" w:lineRule="auto"/>
        <w:keepLines/>
      </w:pPr>
      <w:r>
        <w:rPr>
          <w:rFonts w:ascii="Calibri" w:hAnsi="Calibri" w:eastAsia="Calibri"/>
          <w:i w:val="0"/>
          <w:color w:val="1F2937"/>
          <w:sz w:val="22"/>
        </w:rPr>
        <w:t>Работа включала исследование, архитектурную сверку, формирование нормативной документации, структурные проверки и repository handoff. Реализация runtime-кода Cleaner уже находилась в main; в рамках knowledge-base commit она не переписывалась.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300"/>
        <w:gridCol w:w="4260"/>
      </w:tblGrid>
      <w:tr>
        <w:trPr>
          <w:trHeight w:hRule="atLeast"/>
          <w:tblHeader w:val="true"/>
          <w:cantSplit/>
        </w:trPr>
        <w:tc>
          <w:tcPr>
            <w:tcW w:type="dxa" w:w="180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Группа</w:t>
            </w:r>
          </w:p>
        </w:tc>
        <w:tc>
          <w:tcPr>
            <w:tcW w:type="dxa" w:w="330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Материалы</w:t>
            </w:r>
          </w:p>
        </w:tc>
        <w:tc>
          <w:tcPr>
            <w:tcW w:type="dxa" w:w="426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Как использованы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Visitor Registry</w:t>
            </w:r>
          </w:p>
        </w:tc>
        <w:tc>
          <w:tcPr>
            <w:tcW w:type="dxa" w:w="33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Visitor.txt; TexZadanie.txt; TZ-registracii.txt; TZ2.txt; ТЗ2-дополнения.txt</w:t>
            </w:r>
          </w:p>
        </w:tc>
        <w:tc>
          <w:tcPr>
            <w:tcW w:type="dxa" w:w="42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Границы модулей, события, persistence, lifecycle и требования к тестам.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Omada research</w:t>
            </w:r>
          </w:p>
        </w:tc>
        <w:tc>
          <w:tcPr>
            <w:tcW w:type="dxa" w:w="33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Два отчёта Open API; отчёт о сбросе сессии</w:t>
            </w:r>
          </w:p>
        </w:tc>
        <w:tc>
          <w:tcPr>
            <w:tcW w:type="dxa" w:w="42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Проверенные endpoints, поля, errorCode, reconnect и отвергнутые методы.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Cleaner</w:t>
            </w:r>
          </w:p>
        </w:tc>
        <w:tc>
          <w:tcPr>
            <w:tcW w:type="dxa" w:w="33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Pending Client Session Cleaner v1.0.docx</w:t>
            </w:r>
          </w:p>
        </w:tc>
        <w:tc>
          <w:tcPr>
            <w:tcW w:type="dxa" w:w="42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Change-intent contract, safety guards, конфигурация, events и acceptance criteria.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Временный probe</w:t>
            </w:r>
          </w:p>
        </w:tc>
        <w:tc>
          <w:tcPr>
            <w:tcW w:type="dxa" w:w="33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systemd unit и env example</w:t>
            </w:r>
          </w:p>
        </w:tc>
        <w:tc>
          <w:tcPr>
            <w:tcW w:type="dxa" w:w="42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Использованы как историческое evidence; в main временные probe-артефакты удалены.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Наблюдаемость</w:t>
            </w:r>
          </w:p>
        </w:tc>
        <w:tc>
          <w:tcPr>
            <w:tcW w:type="dxa" w:w="33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Grafana dashboard JSON v27</w:t>
            </w:r>
          </w:p>
        </w:tc>
        <w:tc>
          <w:tcPr>
            <w:tcW w:type="dxa" w:w="42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Сверка data events и operational boundaries; Grafana не менялась.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Knowledge base</w:t>
            </w:r>
          </w:p>
        </w:tc>
        <w:tc>
          <w:tcPr>
            <w:tcW w:type="dxa" w:w="33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База знаний CaptivPortal и контекст coding agents.docx</w:t>
            </w:r>
          </w:p>
        </w:tc>
        <w:tc>
          <w:tcPr>
            <w:tcW w:type="dxa" w:w="42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Целевая структура, agent workflow, TASK/PLAN/ADR и критерии приёмки.</w:t>
            </w:r>
          </w:p>
        </w:tc>
      </w:tr>
    </w:tbl>
    <w:p>
      <w:pPr>
        <w:spacing w:after="0"/>
      </w:pPr>
    </w:p>
    <w:p>
      <w:pPr>
        <w:spacing w:before="0" w:after="120" w:line="264" w:lineRule="auto"/>
        <w:keepLines/>
      </w:pPr>
      <w:r>
        <w:rPr>
          <w:rFonts w:ascii="Calibri" w:hAnsi="Calibri" w:eastAsia="Calibri"/>
          <w:i w:val="0"/>
          <w:color w:val="1F2937"/>
          <w:sz w:val="22"/>
        </w:rPr>
        <w:t>Исследовательские DOCX сохранены как evidence. Они не объявлены устаревшими: нормативное текущее состояние определяется merged-кодом, тестами и актуальными документами docs/.</w:t>
      </w:r>
    </w:p>
    <w:p>
      <w:pPr>
        <w:pStyle w:val="Heading1"/>
        <w:keepNext/>
        <w:keepLines/>
      </w:pPr>
      <w:r>
        <w:t>3. Выполненная техническая работа</w:t>
      </w:r>
    </w:p>
    <w:p>
      <w:pPr>
        <w:pStyle w:val="Heading2"/>
        <w:keepNext/>
        <w:keepLines/>
      </w:pPr>
      <w:r>
        <w:t>3.1. Omada Open API и сброс pending-сессии</w:t>
      </w:r>
    </w:p>
    <w:p>
      <w:pPr>
        <w:spacing w:before="0" w:after="120" w:line="264" w:lineRule="auto"/>
        <w:keepLines/>
      </w:pPr>
      <w:r>
        <w:rPr>
          <w:rFonts w:ascii="Calibri" w:hAnsi="Calibri" w:eastAsia="Calibri"/>
          <w:i w:val="0"/>
          <w:color w:val="1F2937"/>
          <w:sz w:val="22"/>
        </w:rPr>
        <w:t>Для Omada Software Controller 5.14.31 подтверждён следующий рабочий action path:</w:t>
      </w:r>
    </w:p>
    <w:p>
      <w:pPr>
        <w:spacing w:before="0" w:after="160" w:line="280" w:lineRule="auto"/>
        <w:numPr>
          <w:ilvl w:val="0"/>
          <w:numId w:val="11"/>
        </w:numPr>
        <w:keepLines/>
      </w:pPr>
      <w:r>
        <w:rPr>
          <w:rFonts w:ascii="Calibri" w:hAnsi="Calibri" w:eastAsia="Calibri"/>
          <w:color w:val="1F2937"/>
          <w:sz w:val="22"/>
        </w:rPr>
        <w:t>Получить полный список активных клиентов с pagination и убедиться, что inventory полный.</w:t>
      </w:r>
    </w:p>
    <w:p>
      <w:pPr>
        <w:spacing w:before="0" w:after="160" w:line="280" w:lineRule="auto"/>
        <w:numPr>
          <w:ilvl w:val="0"/>
          <w:numId w:val="11"/>
        </w:numPr>
        <w:keepLines/>
      </w:pPr>
      <w:r>
        <w:rPr>
          <w:rFonts w:ascii="Calibri" w:hAnsi="Calibri" w:eastAsia="Calibri"/>
          <w:color w:val="1F2937"/>
          <w:sz w:val="22"/>
        </w:rPr>
        <w:t>Выбрать только wireless=true, active=true, authStatus=1, разрешённый SSID, корректный MAC и uptime не ниже 120 секунд.</w:t>
      </w:r>
    </w:p>
    <w:p>
      <w:pPr>
        <w:spacing w:before="0" w:after="160" w:line="280" w:lineRule="auto"/>
        <w:numPr>
          <w:ilvl w:val="0"/>
          <w:numId w:val="11"/>
        </w:numPr>
        <w:keepLines/>
      </w:pPr>
      <w:r>
        <w:rPr>
          <w:rFonts w:ascii="Calibri" w:hAnsi="Calibri" w:eastAsia="Calibri"/>
          <w:color w:val="1F2937"/>
          <w:sz w:val="22"/>
        </w:rPr>
        <w:t>Дважды проверить локальное состояние AuthSessionManager и непосредственно перед действием повторно получить свежую карточку клиента.</w:t>
      </w:r>
    </w:p>
    <w:p>
      <w:pPr>
        <w:spacing w:before="0" w:after="160" w:line="280" w:lineRule="auto"/>
        <w:numPr>
          <w:ilvl w:val="0"/>
          <w:numId w:val="11"/>
        </w:numPr>
        <w:keepLines/>
      </w:pPr>
      <w:r>
        <w:rPr>
          <w:rFonts w:ascii="Calibri" w:hAnsi="Calibri" w:eastAsia="Calibri"/>
          <w:color w:val="1F2937"/>
          <w:sz w:val="22"/>
        </w:rPr>
        <w:t>Сначала записать и flush-нуть pending_session.action.planned, затем выполнить POST /openapi/v1/{omadacId}/sites/{siteId}/clients/{clientMac}/reconnect.</w:t>
      </w:r>
    </w:p>
    <w:p>
      <w:pPr>
        <w:spacing w:before="0" w:after="160" w:line="280" w:lineRule="auto"/>
        <w:numPr>
          <w:ilvl w:val="0"/>
          <w:numId w:val="11"/>
        </w:numPr>
        <w:keepLines/>
      </w:pPr>
      <w:r>
        <w:rPr>
          <w:rFonts w:ascii="Calibri" w:hAnsi="Calibri" w:eastAsia="Calibri"/>
          <w:color w:val="1F2937"/>
          <w:sz w:val="22"/>
        </w:rPr>
        <w:t>Выполнить bounded verification и записать pending_session.action.completed и pending_session.scan.completed.</w:t>
      </w:r>
    </w:p>
    <w:p>
      <w:pPr>
        <w:spacing w:before="100" w:after="160" w:line="264" w:lineRule="auto"/>
        <w:ind w:left="144" w:right="144"/>
        <w:shd w:fill="EAF4EC" w:val="clear"/>
        <w:pBdr>
          <w:top w:val="single" w:sz="4" w:space="5" w:color="D2DAE3"/>
          <w:left w:val="single" w:sz="4" w:space="5" w:color="D2DAE3"/>
          <w:bottom w:val="single" w:sz="4" w:space="5" w:color="D2DAE3"/>
          <w:right w:val="single" w:sz="4" w:space="5" w:color="D2DAE3"/>
        </w:pBdr>
        <w:keepLines/>
      </w:pPr>
      <w:r>
        <w:rPr>
          <w:rFonts w:ascii="Calibri" w:hAnsi="Calibri" w:eastAsia="Calibri"/>
          <w:b/>
          <w:color w:val="1F4D78"/>
          <w:sz w:val="22"/>
        </w:rPr>
        <w:t xml:space="preserve">Проверенное поведение reconnect: </w:t>
      </w:r>
      <w:r>
        <w:rPr>
          <w:rFonts w:ascii="Calibri" w:hAnsi="Calibri" w:eastAsia="Calibri"/>
          <w:color w:val="1F2937"/>
          <w:sz w:val="22"/>
        </w:rPr>
        <w:t>Старая активная Wi-Fi-сессия закрывается; клиент становится active=false и исчезает из active-client list. MAC не блокируется, историческая карточка сохраняется, повторное подключение остаётся возможным.</w:t>
      </w:r>
    </w:p>
    <w:p>
      <w:pPr>
        <w:spacing w:before="0" w:after="120" w:line="264" w:lineRule="auto"/>
        <w:keepLines/>
      </w:pPr>
      <w:r>
        <w:rPr>
          <w:rFonts w:ascii="Calibri" w:hAnsi="Calibri" w:eastAsia="Calibri"/>
          <w:i w:val="0"/>
          <w:color w:val="1F2937"/>
          <w:sz w:val="22"/>
        </w:rPr>
        <w:t>Для успеха проверяются отдельно HTTP status и Omada JSON errorCode. HTTP 200 сам по себе не означает business success. Код -44112 трактуется как истечение Access Token; повторный POST допустим только после безопасной invalidation, нового token, fresh preflight и повторных protection checks.</w:t>
      </w:r>
    </w:p>
    <w:p>
      <w:pPr>
        <w:spacing w:before="0" w:after="120" w:line="264" w:lineRule="auto"/>
        <w:keepLines/>
      </w:pPr>
      <w:r>
        <w:rPr>
          <w:rFonts w:ascii="Calibri" w:hAnsi="Calibri" w:eastAsia="Calibri"/>
          <w:i w:val="0"/>
          <w:color w:val="1F2937"/>
          <w:sz w:val="22"/>
        </w:rPr>
        <w:t>Отвергнутые варианты: disconnect (endpoint не подтверждён/вернул 404), DELETE client (нет в локальном Swagger), unauth (клиент и так не авторизован), forget device (относится к управляемым устройствам), block/unblock (слишком жёсткая и меняющая policy альтернатива).</w:t>
      </w:r>
    </w:p>
    <w:p>
      <w:pPr>
        <w:pStyle w:val="Heading2"/>
        <w:keepNext/>
        <w:keepLines/>
      </w:pPr>
      <w:r>
        <w:t>3.2. Сверка финальной реализации Cleaner</w:t>
      </w:r>
    </w:p>
    <w:p>
      <w:pPr>
        <w:spacing w:before="0" w:after="160" w:line="280" w:lineRule="auto"/>
        <w:numPr>
          <w:ilvl w:val="0"/>
          <w:numId w:val="10"/>
        </w:numPr>
        <w:keepLines/>
      </w:pPr>
      <w:r>
        <w:rPr>
          <w:rFonts w:ascii="Calibri" w:hAnsi="Calibri" w:eastAsia="Calibri"/>
          <w:color w:val="1F2937"/>
          <w:sz w:val="22"/>
        </w:rPr>
        <w:t>Один OmadaProvider создаётся в run.py и передаётся AuthWorker, snapshot collector и Cleaner.</w:t>
      </w:r>
    </w:p>
    <w:p>
      <w:pPr>
        <w:spacing w:before="0" w:after="160" w:line="280" w:lineRule="auto"/>
        <w:numPr>
          <w:ilvl w:val="0"/>
          <w:numId w:val="10"/>
        </w:numPr>
        <w:keepLines/>
      </w:pPr>
      <w:r>
        <w:rPr>
          <w:rFonts w:ascii="Calibri" w:hAnsi="Calibri" w:eastAsia="Calibri"/>
          <w:color w:val="1F2937"/>
          <w:sz w:val="22"/>
        </w:rPr>
        <w:t>Shared token cache потокобезопасен: Condition(RLock), один concurrent refresh, атомарная публикация token/expiry и отсутствие partial state при ошибке.</w:t>
      </w:r>
    </w:p>
    <w:p>
      <w:pPr>
        <w:spacing w:before="0" w:after="160" w:line="280" w:lineRule="auto"/>
        <w:numPr>
          <w:ilvl w:val="0"/>
          <w:numId w:val="10"/>
        </w:numPr>
        <w:keepLines/>
      </w:pPr>
      <w:r>
        <w:rPr>
          <w:rFonts w:ascii="Calibri" w:hAnsi="Calibri" w:eastAsia="Calibri"/>
          <w:color w:val="1F2937"/>
          <w:sz w:val="22"/>
        </w:rPr>
        <w:t>Cleaner работает как один daemon worker в single-process deployment, использует fixed-delay scheduling и не допускает overlap scans.</w:t>
      </w:r>
    </w:p>
    <w:p>
      <w:pPr>
        <w:spacing w:before="0" w:after="160" w:line="280" w:lineRule="auto"/>
        <w:numPr>
          <w:ilvl w:val="0"/>
          <w:numId w:val="10"/>
        </w:numPr>
        <w:keepLines/>
      </w:pPr>
      <w:r>
        <w:rPr>
          <w:rFonts w:ascii="Calibri" w:hAnsi="Calibri" w:eastAsia="Calibri"/>
          <w:color w:val="1F2937"/>
          <w:sz w:val="22"/>
        </w:rPr>
        <w:t>Incomplete inventory, duplicate MAC, local Auth activity, failed preflight, audit error, shutdown или исчерпанные action limits запрещают reconnect.</w:t>
      </w:r>
    </w:p>
    <w:p>
      <w:pPr>
        <w:spacing w:before="0" w:after="160" w:line="280" w:lineRule="auto"/>
        <w:numPr>
          <w:ilvl w:val="0"/>
          <w:numId w:val="10"/>
        </w:numPr>
        <w:keepLines/>
      </w:pPr>
      <w:r>
        <w:rPr>
          <w:rFonts w:ascii="Calibri" w:hAnsi="Calibri" w:eastAsia="Calibri"/>
          <w:color w:val="1F2937"/>
          <w:sz w:val="22"/>
        </w:rPr>
        <w:t>Data journal — compact UTF-8 JSONL, schema_version=1, полный MAC, без token, secret, cookie, Authorization header и raw response.</w:t>
      </w:r>
    </w:p>
    <w:p>
      <w:pPr>
        <w:spacing w:before="0" w:after="160" w:line="280" w:lineRule="auto"/>
        <w:numPr>
          <w:ilvl w:val="0"/>
          <w:numId w:val="10"/>
        </w:numPr>
        <w:keepLines/>
      </w:pPr>
      <w:r>
        <w:rPr>
          <w:rFonts w:ascii="Calibri" w:hAnsi="Calibri" w:eastAsia="Calibri"/>
          <w:color w:val="1F2937"/>
          <w:sz w:val="22"/>
        </w:rPr>
        <w:t>Repository default: PENDING_SESSION_CLEANER_ENABLED=false; production activation и живая работа подтверждены владельцем 04.08.2026.</w:t>
      </w:r>
    </w:p>
    <w:p>
      <w:pPr>
        <w:pStyle w:val="Heading2"/>
        <w:keepNext/>
        <w:keepLines/>
      </w:pPr>
      <w:r>
        <w:t>3.3. Интеграция проектной базы знаний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rHeight w:hRule="atLeast"/>
          <w:tblHeader w:val="true"/>
          <w:cantSplit/>
        </w:trPr>
        <w:tc>
          <w:tcPr>
            <w:tcW w:type="dxa" w:w="250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Компонент</w:t>
            </w:r>
          </w:p>
        </w:tc>
        <w:tc>
          <w:tcPr>
            <w:tcW w:type="dxa" w:w="686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Результат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Universal agent rules</w:t>
            </w:r>
          </w:p>
        </w:tc>
        <w:tc>
          <w:tcPr>
            <w:tcW w:type="dxa" w:w="68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Создан AGENTS.md: источники истины, execution modes, capability declaration, stop conditions, security, tests и handoff.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GitHub/Copilot adapter</w:t>
            </w:r>
          </w:p>
        </w:tc>
        <w:tc>
          <w:tcPr>
            <w:tcW w:type="dxa" w:w="68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Созданы .github/copilot-instructions.md, восемь path-specific instruction-файлов с applyTo и PR template.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Навигация</w:t>
            </w:r>
          </w:p>
        </w:tc>
        <w:tc>
          <w:tcPr>
            <w:tcW w:type="dxa" w:w="68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Созданы docs/README.md, project-inventory.md, architecture.md и module-index.md.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Модульные contracts</w:t>
            </w:r>
          </w:p>
        </w:tc>
        <w:tc>
          <w:tcPr>
            <w:tcW w:type="dxa" w:w="68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11 документов с единым шаблоном из 17 обязательных разделов.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Операционные contracts</w:t>
            </w:r>
          </w:p>
        </w:tc>
        <w:tc>
          <w:tcPr>
            <w:tcW w:type="dxa" w:w="68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Созданы testing.md, logging.md, deployment.md, security.md и curated Omada API contract.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Agent workflow</w:t>
            </w:r>
          </w:p>
        </w:tc>
        <w:tc>
          <w:tcPr>
            <w:tcW w:type="dxa" w:w="68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Созданы workflow, task-contract, handoff, repository-actions, model-selection и pilot-results.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Шаблоны</w:t>
            </w:r>
          </w:p>
        </w:tc>
        <w:tc>
          <w:tcPr>
            <w:tcW w:type="dxa" w:w="68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Добавлены TASK, PLAN и ADR templates.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Test tooling</w:t>
            </w:r>
          </w:p>
        </w:tc>
        <w:tc>
          <w:tcPr>
            <w:tcW w:type="dxa" w:w="68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Добавлены pytest.ini с testpaths=tests и scripts/check.sh с pytest → compileall → diff-check.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Миграция старых docs</w:t>
            </w:r>
          </w:p>
        </w:tc>
        <w:tc>
          <w:tcPr>
            <w:tcW w:type="dxa" w:w="68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9 старых технических документов помечены superseded и ведут на новый current module contract; файлы не удалены.</w:t>
            </w:r>
          </w:p>
        </w:tc>
      </w:tr>
    </w:tbl>
    <w:p>
      <w:pPr>
        <w:spacing w:after="0"/>
      </w:pPr>
    </w:p>
    <w:p>
      <w:pPr>
        <w:spacing w:before="0" w:after="120" w:line="264" w:lineRule="auto"/>
        <w:keepLines/>
      </w:pPr>
      <w:r>
        <w:rPr>
          <w:rFonts w:ascii="Calibri" w:hAnsi="Calibri" w:eastAsia="Calibri"/>
          <w:i w:val="0"/>
          <w:color w:val="1F2937"/>
          <w:sz w:val="22"/>
        </w:rPr>
        <w:t>База разделяет current-state truth (код → тесты → актуальная документация) и change-intent truth (TASK → PLAN → ADR). Это устраняет практику восстановления архитектуры по чатам и временным отчётам и одновременно уменьшает расход контекста: агент читает TASK и только 1–3 связанных документа.</w:t>
      </w:r>
    </w:p>
    <w:p>
      <w:pPr>
        <w:pStyle w:val="Heading1"/>
        <w:keepNext/>
        <w:keepLines/>
      </w:pPr>
      <w:r>
        <w:t>4. Repository actions и фактический результат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5400"/>
        <w:gridCol w:w="1860"/>
      </w:tblGrid>
      <w:tr>
        <w:trPr>
          <w:trHeight w:hRule="atLeast"/>
          <w:tblHeader w:val="true"/>
          <w:cantSplit/>
        </w:trPr>
        <w:tc>
          <w:tcPr>
            <w:tcW w:type="dxa" w:w="210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Параметр</w:t>
            </w:r>
          </w:p>
        </w:tc>
        <w:tc>
          <w:tcPr>
            <w:tcW w:type="dxa" w:w="540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Фактическое значение</w:t>
            </w:r>
          </w:p>
        </w:tc>
        <w:tc>
          <w:tcPr>
            <w:tcW w:type="dxa" w:w="186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Статус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Runtime baseline</w:t>
            </w:r>
          </w:p>
        </w:tc>
        <w:tc>
          <w:tcPr>
            <w:tcW w:type="dxa" w:w="54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main 227ebe9, после PR #27 Cleaner и PR #28 удаления probe</w:t>
            </w:r>
          </w:p>
        </w:tc>
        <w:tc>
          <w:tcPr>
            <w:tcW w:type="dxa" w:w="18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shd w:fill="EAF4EC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Рабочая ветка</w:t>
            </w:r>
          </w:p>
        </w:tc>
        <w:tc>
          <w:tcPr>
            <w:tcW w:type="dxa" w:w="54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feature/project-knowledge-base</w:t>
            </w:r>
          </w:p>
        </w:tc>
        <w:tc>
          <w:tcPr>
            <w:tcW w:type="dxa" w:w="18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shd w:fill="EAF4EC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Commit</w:t>
            </w:r>
          </w:p>
        </w:tc>
        <w:tc>
          <w:tcPr>
            <w:tcW w:type="dxa" w:w="54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4219821 — docs: add project knowledge base</w:t>
            </w:r>
          </w:p>
        </w:tc>
        <w:tc>
          <w:tcPr>
            <w:tcW w:type="dxa" w:w="18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shd w:fill="EAF4EC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Diff</w:t>
            </w:r>
          </w:p>
        </w:tc>
        <w:tc>
          <w:tcPr>
            <w:tcW w:type="dxa" w:w="54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55 files; +2428 / -41; runtime files: 0</w:t>
            </w:r>
          </w:p>
        </w:tc>
        <w:tc>
          <w:tcPr>
            <w:tcW w:type="dxa" w:w="18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shd w:fill="EAF4EC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Push</w:t>
            </w:r>
          </w:p>
        </w:tc>
        <w:tc>
          <w:tcPr>
            <w:tcW w:type="dxa" w:w="54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Ветка опубликована в origin</w:t>
            </w:r>
          </w:p>
        </w:tc>
        <w:tc>
          <w:tcPr>
            <w:tcW w:type="dxa" w:w="18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shd w:fill="EAF4EC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 / merge</w:t>
            </w:r>
          </w:p>
        </w:tc>
        <w:tc>
          <w:tcPr>
            <w:tcW w:type="dxa" w:w="54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Выполнены владельцем; номер PR и merge SHA в доступном evidence не зафиксированы</w:t>
            </w:r>
          </w:p>
        </w:tc>
        <w:tc>
          <w:tcPr>
            <w:tcW w:type="dxa" w:w="18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shd w:fill="EAF4EC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Финальный main</w:t>
            </w:r>
          </w:p>
        </w:tc>
        <w:tc>
          <w:tcPr>
            <w:tcW w:type="dxa" w:w="54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Владелец подтвердил успешное слияние и clean working tree</w:t>
            </w:r>
          </w:p>
        </w:tc>
        <w:tc>
          <w:tcPr>
            <w:tcW w:type="dxa" w:w="18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shd w:fill="EAF4EC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PASS</w:t>
            </w:r>
          </w:p>
        </w:tc>
      </w:tr>
    </w:tbl>
    <w:p>
      <w:pPr>
        <w:spacing w:after="0"/>
      </w:pPr>
    </w:p>
    <w:p>
      <w:pPr>
        <w:spacing w:before="100" w:after="160" w:line="264" w:lineRule="auto"/>
        <w:ind w:left="144" w:right="144"/>
        <w:shd w:fill="F4F6F9" w:val="clear"/>
        <w:pBdr>
          <w:top w:val="single" w:sz="4" w:space="5" w:color="D2DAE3"/>
          <w:left w:val="single" w:sz="4" w:space="5" w:color="D2DAE3"/>
          <w:bottom w:val="single" w:sz="4" w:space="5" w:color="D2DAE3"/>
          <w:right w:val="single" w:sz="4" w:space="5" w:color="D2DAE3"/>
        </w:pBdr>
        <w:keepLines/>
      </w:pPr>
      <w:r>
        <w:rPr>
          <w:rFonts w:ascii="Calibri" w:hAnsi="Calibri" w:eastAsia="Calibri"/>
          <w:b/>
          <w:color w:val="1F4D78"/>
          <w:sz w:val="22"/>
        </w:rPr>
        <w:t xml:space="preserve">Scope control: </w:t>
      </w:r>
      <w:r>
        <w:rPr>
          <w:rFonts w:ascii="Calibri" w:hAnsi="Calibri" w:eastAsia="Calibri"/>
          <w:color w:val="1F2937"/>
          <w:sz w:val="22"/>
        </w:rPr>
        <w:t>Не менялись runtime business logic, public API, JSONL schema, SQLite schema, dependencies, Alloy, Loki, Grafana, reverse proxy или production systemd.</w:t>
      </w:r>
    </w:p>
    <w:p>
      <w:pPr>
        <w:pStyle w:val="Heading1"/>
        <w:keepNext/>
        <w:keepLines/>
      </w:pPr>
      <w:r>
        <w:t>5. Проверки и test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2200"/>
        <w:gridCol w:w="1350"/>
        <w:gridCol w:w="3710"/>
      </w:tblGrid>
      <w:tr>
        <w:trPr>
          <w:trHeight w:hRule="atLeast"/>
          <w:tblHeader w:val="true"/>
          <w:cantSplit/>
        </w:trPr>
        <w:tc>
          <w:tcPr>
            <w:tcW w:type="dxa" w:w="210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Проверка</w:t>
            </w:r>
          </w:p>
        </w:tc>
        <w:tc>
          <w:tcPr>
            <w:tcW w:type="dxa" w:w="220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Результат</w:t>
            </w:r>
          </w:p>
        </w:tc>
        <w:tc>
          <w:tcPr>
            <w:tcW w:type="dxa" w:w="135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Статус</w:t>
            </w:r>
          </w:p>
        </w:tc>
        <w:tc>
          <w:tcPr>
            <w:tcW w:type="dxa" w:w="371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Примечание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Cleaner targeted suite</w:t>
            </w:r>
          </w:p>
        </w:tc>
        <w:tc>
          <w:tcPr>
            <w:tcW w:type="dxa" w:w="22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64 passed in 0.78 s</w:t>
            </w:r>
          </w:p>
        </w:tc>
        <w:tc>
          <w:tcPr>
            <w:tcW w:type="dxa" w:w="135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shd w:fill="EAF4EC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PASS</w:t>
            </w:r>
          </w:p>
        </w:tc>
        <w:tc>
          <w:tcPr>
            <w:tcW w:type="dxa" w:w="371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Проверка tests/pending_sessions; параметризация даёт больше test cases, чем 52 test functions.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Full server pytest</w:t>
            </w:r>
          </w:p>
        </w:tc>
        <w:tc>
          <w:tcPr>
            <w:tcW w:type="dxa" w:w="22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866 passed; 10 skipped; 4 failed; 149.86 s</w:t>
            </w:r>
          </w:p>
        </w:tc>
        <w:tc>
          <w:tcPr>
            <w:tcW w:type="dxa" w:w="135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shd w:fill="FFF4D6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PARTIAL</w:t>
            </w:r>
          </w:p>
        </w:tc>
        <w:tc>
          <w:tcPr>
            <w:tcW w:type="dxa" w:w="371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Все 4 failures находятся в Visitor Registry; full gate нельзя считать зелёным.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Compile gate</w:t>
            </w:r>
          </w:p>
        </w:tc>
        <w:tc>
          <w:tcPr>
            <w:tcW w:type="dxa" w:w="22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python -m compileall -q app</w:t>
            </w:r>
          </w:p>
        </w:tc>
        <w:tc>
          <w:tcPr>
            <w:tcW w:type="dxa" w:w="135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shd w:fill="EAF4EC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PASS</w:t>
            </w:r>
          </w:p>
        </w:tc>
        <w:tc>
          <w:tcPr>
            <w:tcW w:type="dxa" w:w="371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Выполнен независимо в integration workspace с отдельным pycache prefix.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Whitespace gate</w:t>
            </w:r>
          </w:p>
        </w:tc>
        <w:tc>
          <w:tcPr>
            <w:tcW w:type="dxa" w:w="22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git diff --check</w:t>
            </w:r>
          </w:p>
        </w:tc>
        <w:tc>
          <w:tcPr>
            <w:tcW w:type="dxa" w:w="135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shd w:fill="EAF4EC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PASS</w:t>
            </w:r>
          </w:p>
        </w:tc>
        <w:tc>
          <w:tcPr>
            <w:tcW w:type="dxa" w:w="371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Diff чистый.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Shell syntax</w:t>
            </w:r>
          </w:p>
        </w:tc>
        <w:tc>
          <w:tcPr>
            <w:tcW w:type="dxa" w:w="22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scripts/check.sh</w:t>
            </w:r>
          </w:p>
        </w:tc>
        <w:tc>
          <w:tcPr>
            <w:tcW w:type="dxa" w:w="135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shd w:fill="EAF4EC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PASS</w:t>
            </w:r>
          </w:p>
        </w:tc>
        <w:tc>
          <w:tcPr>
            <w:tcW w:type="dxa" w:w="371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Синтаксис проверен; server script остановился на pytest из-за set -e.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Markdown links</w:t>
            </w:r>
          </w:p>
        </w:tc>
        <w:tc>
          <w:tcPr>
            <w:tcW w:type="dxa" w:w="22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0 broken links</w:t>
            </w:r>
          </w:p>
        </w:tc>
        <w:tc>
          <w:tcPr>
            <w:tcW w:type="dxa" w:w="135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shd w:fill="EAF4EC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PASS</w:t>
            </w:r>
          </w:p>
        </w:tc>
        <w:tc>
          <w:tcPr>
            <w:tcW w:type="dxa" w:w="371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Проверены 54 Markdown-файла knowledge-base snapshot.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Module contract shape</w:t>
            </w:r>
          </w:p>
        </w:tc>
        <w:tc>
          <w:tcPr>
            <w:tcW w:type="dxa" w:w="22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11 × 17 sections</w:t>
            </w:r>
          </w:p>
        </w:tc>
        <w:tc>
          <w:tcPr>
            <w:tcW w:type="dxa" w:w="135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shd w:fill="EAF4EC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PASS</w:t>
            </w:r>
          </w:p>
        </w:tc>
        <w:tc>
          <w:tcPr>
            <w:tcW w:type="dxa" w:w="371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Все обязательные разделы присутствуют.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Path instructions</w:t>
            </w:r>
          </w:p>
        </w:tc>
        <w:tc>
          <w:tcPr>
            <w:tcW w:type="dxa" w:w="22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8 applyTo definitions</w:t>
            </w:r>
          </w:p>
        </w:tc>
        <w:tc>
          <w:tcPr>
            <w:tcW w:type="dxa" w:w="135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shd w:fill="EAF4EC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PASS</w:t>
            </w:r>
          </w:p>
        </w:tc>
        <w:tc>
          <w:tcPr>
            <w:tcW w:type="dxa" w:w="371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Отдельные adapters для Python, tests, Omada, Cleaner, logging, storage, workers и docs.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Secret-like scan</w:t>
            </w:r>
          </w:p>
        </w:tc>
        <w:tc>
          <w:tcPr>
            <w:tcW w:type="dxa" w:w="22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0 findings</w:t>
            </w:r>
          </w:p>
        </w:tc>
        <w:tc>
          <w:tcPr>
            <w:tcW w:type="dxa" w:w="135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shd w:fill="EAF4EC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PASS</w:t>
            </w:r>
          </w:p>
        </w:tc>
        <w:tc>
          <w:tcPr>
            <w:tcW w:type="dxa" w:w="371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В instructions/docs не добавлены secrets.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Runtime diff</w:t>
            </w:r>
          </w:p>
        </w:tc>
        <w:tc>
          <w:tcPr>
            <w:tcW w:type="dxa" w:w="22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0 runtime files</w:t>
            </w:r>
          </w:p>
        </w:tc>
        <w:tc>
          <w:tcPr>
            <w:tcW w:type="dxa" w:w="135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shd w:fill="EAF4EC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PASS</w:t>
            </w:r>
          </w:p>
        </w:tc>
        <w:tc>
          <w:tcPr>
            <w:tcW w:type="dxa" w:w="371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Изменение документационное/tooling-only.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Agent pilots</w:t>
            </w:r>
          </w:p>
        </w:tc>
        <w:tc>
          <w:tcPr>
            <w:tcW w:type="dxa" w:w="22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2 scenarios passed for current agent</w:t>
            </w:r>
          </w:p>
        </w:tc>
        <w:tc>
          <w:tcPr>
            <w:tcW w:type="dxa" w:w="135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shd w:fill="FFF4D6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  <w:t>PARTIAL</w:t>
            </w:r>
          </w:p>
        </w:tc>
        <w:tc>
          <w:tcPr>
            <w:tcW w:type="dxa" w:w="371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Cross-agent/Copilot validation не выполнялась и не заявляется.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5.1. Почему полный gate остаётся красным</w:t>
      </w:r>
    </w:p>
    <w:p>
      <w:pPr>
        <w:spacing w:before="0" w:after="120" w:line="264" w:lineRule="auto"/>
        <w:keepLines/>
      </w:pPr>
      <w:r>
        <w:rPr>
          <w:rFonts w:ascii="Calibri" w:hAnsi="Calibri" w:eastAsia="Calibri"/>
          <w:i w:val="0"/>
          <w:color w:val="1F2937"/>
          <w:sz w:val="22"/>
        </w:rPr>
        <w:t>Последний запуск ./scripts/check.sh на сервере завершился после pytest, поскольку script использует set -e. Поэтому compileall и git diff --check в том конкретном запуске после pytest не выполнялись; они были подтверждены отдельными проверками до commit.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550"/>
        <w:gridCol w:w="3400"/>
        <w:gridCol w:w="2510"/>
      </w:tblGrid>
      <w:tr>
        <w:trPr>
          <w:trHeight w:hRule="atLeast"/>
          <w:tblHeader w:val="true"/>
          <w:cantSplit/>
        </w:trPr>
        <w:tc>
          <w:tcPr>
            <w:tcW w:type="dxa" w:w="190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Кластер</w:t>
            </w:r>
          </w:p>
        </w:tc>
        <w:tc>
          <w:tcPr>
            <w:tcW w:type="dxa" w:w="155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Затронутые tests</w:t>
            </w:r>
          </w:p>
        </w:tc>
        <w:tc>
          <w:tcPr>
            <w:tcW w:type="dxa" w:w="340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Фактическая причина</w:t>
            </w:r>
          </w:p>
        </w:tc>
        <w:tc>
          <w:tcPr>
            <w:tcW w:type="dxa" w:w="251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Вывод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SQLite compatibility</w:t>
            </w:r>
          </w:p>
        </w:tc>
        <w:tc>
          <w:tcPr>
            <w:tcW w:type="dxa" w:w="155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3 failures</w:t>
            </w:r>
          </w:p>
        </w:tc>
        <w:tc>
          <w:tcPr>
            <w:tcW w:type="dxa" w:w="34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В текущем Python 3.10 модуль sqlite3 не предоставляет используемые SQLITE_CORRUPT / SQLITE_BUSY constants.</w:t>
            </w:r>
          </w:p>
        </w:tc>
        <w:tc>
          <w:tcPr>
            <w:tcW w:type="dxa" w:w="251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Отдельный code TASK для совместимой классификации ошибок или утверждённой версии Python.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Worker stop timing</w:t>
            </w:r>
          </w:p>
        </w:tc>
        <w:tc>
          <w:tcPr>
            <w:tcW w:type="dxa" w:w="155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 failure</w:t>
            </w:r>
          </w:p>
        </w:tc>
        <w:tc>
          <w:tcPr>
            <w:tcW w:type="dxa" w:w="34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Ожидалось &lt;0.2 s, фактически 0.3418 s в test_final_scan_deadline_preserves_offset_for_restart.</w:t>
            </w:r>
          </w:p>
        </w:tc>
        <w:tc>
          <w:tcPr>
            <w:tcW w:type="dxa" w:w="251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Проверить stop path и устойчивость временного критерия; не ослаблять assertion без анализа.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Frontend skips</w:t>
            </w:r>
          </w:p>
        </w:tc>
        <w:tc>
          <w:tcPr>
            <w:tcW w:type="dxa" w:w="155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10 skipped</w:t>
            </w:r>
          </w:p>
        </w:tc>
        <w:tc>
          <w:tcPr>
            <w:tcW w:type="dxa" w:w="34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Node.js отсутствует в серверном test environment.</w:t>
            </w:r>
          </w:p>
        </w:tc>
        <w:tc>
          <w:tcPr>
            <w:tcW w:type="dxa" w:w="251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Повторить frontend tests в CI/окружении с Node.js.</w:t>
            </w:r>
          </w:p>
        </w:tc>
      </w:tr>
    </w:tbl>
    <w:p>
      <w:pPr>
        <w:spacing w:after="0"/>
      </w:pPr>
    </w:p>
    <w:p>
      <w:pPr>
        <w:spacing w:before="0" w:after="120" w:line="264" w:lineRule="auto"/>
        <w:keepLines/>
      </w:pPr>
      <w:r>
        <w:rPr>
          <w:rFonts w:ascii="Calibri" w:hAnsi="Calibri" w:eastAsia="Calibri"/>
          <w:i w:val="0"/>
          <w:color w:val="1F2937"/>
          <w:sz w:val="22"/>
        </w:rPr>
        <w:t>Поскольку knowledge-base commit не менял runtime-код, эти failures не вызваны документационной интеграцией. Тем не менее репозиторий нельзя маркировать как full-suite green до их устранения или документированного environment decision.</w:t>
      </w:r>
    </w:p>
    <w:p>
      <w:pPr>
        <w:pStyle w:val="Heading1"/>
        <w:keepNext/>
        <w:keepLines/>
      </w:pPr>
      <w:r>
        <w:t>6. Обнаруженные риски и технический долг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2600"/>
        <w:gridCol w:w="2900"/>
        <w:gridCol w:w="2560"/>
      </w:tblGrid>
      <w:tr>
        <w:trPr>
          <w:trHeight w:hRule="atLeast"/>
          <w:tblHeader w:val="true"/>
          <w:cantSplit/>
        </w:trPr>
        <w:tc>
          <w:tcPr>
            <w:tcW w:type="dxa" w:w="130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Приоритет</w:t>
            </w:r>
          </w:p>
        </w:tc>
        <w:tc>
          <w:tcPr>
            <w:tcW w:type="dxa" w:w="260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Риск</w:t>
            </w:r>
          </w:p>
        </w:tc>
        <w:tc>
          <w:tcPr>
            <w:tcW w:type="dxa" w:w="290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Влияние</w:t>
            </w:r>
          </w:p>
        </w:tc>
        <w:tc>
          <w:tcPr>
            <w:tcW w:type="dxa" w:w="256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Owner action</w:t>
            </w:r>
          </w:p>
        </w:tc>
      </w:tr>
      <w:tr>
        <w:trPr>
          <w:cantSplit/>
          <w:trHeight w:hRule="atLeast"/>
        </w:trPr>
        <w:tc>
          <w:tcPr>
            <w:tcW w:type="dxa" w:w="13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Высокий</w:t>
            </w:r>
          </w:p>
        </w:tc>
        <w:tc>
          <w:tcPr>
            <w:tcW w:type="dxa" w:w="26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Full suite: 4 Visitor Registry failures</w:t>
            </w:r>
          </w:p>
        </w:tc>
        <w:tc>
          <w:tcPr>
            <w:tcW w:type="dxa" w:w="29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Нет воспроизводимого зелёного release gate на текущем server Python.</w:t>
            </w:r>
          </w:p>
        </w:tc>
        <w:tc>
          <w:tcPr>
            <w:tcW w:type="dxa" w:w="25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Tech Lead: отдельный TASK, исправление/решение по Python baseline, повторный full gate.</w:t>
            </w:r>
          </w:p>
        </w:tc>
      </w:tr>
      <w:tr>
        <w:trPr>
          <w:cantSplit/>
          <w:trHeight w:hRule="atLeast"/>
        </w:trPr>
        <w:tc>
          <w:tcPr>
            <w:tcW w:type="dxa" w:w="13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Средний</w:t>
            </w:r>
          </w:p>
        </w:tc>
        <w:tc>
          <w:tcPr>
            <w:tcW w:type="dxa" w:w="26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Cleaner -44112 token invalidation window</w:t>
            </w:r>
          </w:p>
        </w:tc>
        <w:tc>
          <w:tcPr>
            <w:tcW w:type="dxa" w:w="29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После compare-and-invalidate повторная no-argument invalidation может удалить свежий token, опубликованный AuthWorker, и вызвать лишний refresh.</w:t>
            </w:r>
          </w:p>
        </w:tc>
        <w:tc>
          <w:tcPr>
            <w:tcW w:type="dxa" w:w="25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Tech Lead: минимальный code fix и focused concurrency regression test.</w:t>
            </w:r>
          </w:p>
        </w:tc>
      </w:tr>
      <w:tr>
        <w:trPr>
          <w:cantSplit/>
          <w:trHeight w:hRule="atLeast"/>
        </w:trPr>
        <w:tc>
          <w:tcPr>
            <w:tcW w:type="dxa" w:w="13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Средний</w:t>
            </w:r>
          </w:p>
        </w:tc>
        <w:tc>
          <w:tcPr>
            <w:tcW w:type="dxa" w:w="26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Нет attached GitHub Actions checks</w:t>
            </w:r>
          </w:p>
        </w:tc>
        <w:tc>
          <w:tcPr>
            <w:tcW w:type="dxa" w:w="29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Merge не имеет автоматически воспроизводимого Linux gate.</w:t>
            </w:r>
          </w:p>
        </w:tc>
        <w:tc>
          <w:tcPr>
            <w:tcW w:type="dxa" w:w="25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Tech Lead: добавить CI для pytest, compileall и diff-check; Node для frontend tests.</w:t>
            </w:r>
          </w:p>
        </w:tc>
      </w:tr>
      <w:tr>
        <w:trPr>
          <w:cantSplit/>
          <w:trHeight w:hRule="atLeast"/>
        </w:trPr>
        <w:tc>
          <w:tcPr>
            <w:tcW w:type="dxa" w:w="13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Средний</w:t>
            </w:r>
          </w:p>
        </w:tc>
        <w:tc>
          <w:tcPr>
            <w:tcW w:type="dxa" w:w="26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Single-process dependency</w:t>
            </w:r>
          </w:p>
        </w:tc>
        <w:tc>
          <w:tcPr>
            <w:tcW w:type="dxa" w:w="29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In-memory sessions, guards и Cleaner worker не поддерживают несколько WSGI processes.</w:t>
            </w:r>
          </w:p>
        </w:tc>
        <w:tc>
          <w:tcPr>
            <w:tcW w:type="dxa" w:w="25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Architect: ADR до multi-process/leader-election изменения.</w:t>
            </w:r>
          </w:p>
        </w:tc>
      </w:tr>
      <w:tr>
        <w:trPr>
          <w:cantSplit/>
          <w:trHeight w:hRule="atLeast"/>
        </w:trPr>
        <w:tc>
          <w:tcPr>
            <w:tcW w:type="dxa" w:w="13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Низкий</w:t>
            </w:r>
          </w:p>
        </w:tc>
        <w:tc>
          <w:tcPr>
            <w:tcW w:type="dxa" w:w="26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Tracked pyc/cache и backup-файлы</w:t>
            </w:r>
          </w:p>
        </w:tc>
        <w:tc>
          <w:tcPr>
            <w:tcW w:type="dxa" w:w="29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Imports создают шумный binary diff; backup-файлы конкурируют с source tree.</w:t>
            </w:r>
          </w:p>
        </w:tc>
        <w:tc>
          <w:tcPr>
            <w:tcW w:type="dxa" w:w="25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Tech Lead: отдельный cleanup TASK; не смешивать с функциональными PR.</w:t>
            </w:r>
          </w:p>
        </w:tc>
      </w:tr>
      <w:tr>
        <w:trPr>
          <w:cantSplit/>
          <w:trHeight w:hRule="atLeast"/>
        </w:trPr>
        <w:tc>
          <w:tcPr>
            <w:tcW w:type="dxa" w:w="13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Низкий</w:t>
            </w:r>
          </w:p>
        </w:tc>
        <w:tc>
          <w:tcPr>
            <w:tcW w:type="dxa" w:w="26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Cross-agent validation pending</w:t>
            </w:r>
          </w:p>
        </w:tc>
        <w:tc>
          <w:tcPr>
            <w:tcW w:type="dxa" w:w="29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Правила доказаны на одном repository-aware agent, но не на независимом агенте/Copilot.</w:t>
            </w:r>
          </w:p>
        </w:tc>
        <w:tc>
          <w:tcPr>
            <w:tcW w:type="dxa" w:w="25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Повторить pilots при изменении universal rules или applyTo routing.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7. Решения и следующие действия</w:t>
      </w:r>
    </w:p>
    <w:p>
      <w:pPr>
        <w:pStyle w:val="Heading2"/>
        <w:keepNext/>
        <w:keepLines/>
      </w:pPr>
      <w:r>
        <w:t>7.1. Архитектор</w:t>
      </w:r>
    </w:p>
    <w:p>
      <w:pPr>
        <w:spacing w:before="0" w:after="160" w:line="280" w:lineRule="auto"/>
        <w:numPr>
          <w:ilvl w:val="0"/>
          <w:numId w:val="10"/>
        </w:numPr>
        <w:keepLines/>
      </w:pPr>
      <w:r>
        <w:rPr>
          <w:rFonts w:ascii="Calibri" w:hAnsi="Calibri" w:eastAsia="Calibri"/>
          <w:color w:val="1F2937"/>
          <w:sz w:val="22"/>
        </w:rPr>
        <w:t>Признать docs/README.md и module contracts текущей нормативной картой проекта; change intent оформлять через TASK → PLAN → ADR.</w:t>
      </w:r>
    </w:p>
    <w:p>
      <w:pPr>
        <w:spacing w:before="0" w:after="160" w:line="280" w:lineRule="auto"/>
        <w:numPr>
          <w:ilvl w:val="0"/>
          <w:numId w:val="10"/>
        </w:numPr>
        <w:keepLines/>
      </w:pPr>
      <w:r>
        <w:rPr>
          <w:rFonts w:ascii="Calibri" w:hAnsi="Calibri" w:eastAsia="Calibri"/>
          <w:color w:val="1F2937"/>
          <w:sz w:val="22"/>
        </w:rPr>
        <w:t>Не разрешать новый OmadaProvider, второй token manager, block/unblock policy, новую persistence-модель или multi-process topology без отдельного архитектурного решения.</w:t>
      </w:r>
    </w:p>
    <w:p>
      <w:pPr>
        <w:spacing w:before="0" w:after="160" w:line="280" w:lineRule="auto"/>
        <w:numPr>
          <w:ilvl w:val="0"/>
          <w:numId w:val="10"/>
        </w:numPr>
        <w:keepLines/>
      </w:pPr>
      <w:r>
        <w:rPr>
          <w:rFonts w:ascii="Calibri" w:hAnsi="Calibri" w:eastAsia="Calibri"/>
          <w:color w:val="1F2937"/>
          <w:sz w:val="22"/>
        </w:rPr>
        <w:t>По каждому из девяти superseded документов отдельно решить: оставить как историческую справку или перенести в docs/archive/. Автоматическое удаление запрещено.</w:t>
      </w:r>
    </w:p>
    <w:p>
      <w:pPr>
        <w:spacing w:before="0" w:after="160" w:line="280" w:lineRule="auto"/>
        <w:numPr>
          <w:ilvl w:val="0"/>
          <w:numId w:val="10"/>
        </w:numPr>
        <w:keepLines/>
      </w:pPr>
      <w:r>
        <w:rPr>
          <w:rFonts w:ascii="Calibri" w:hAnsi="Calibri" w:eastAsia="Calibri"/>
          <w:color w:val="1F2937"/>
          <w:sz w:val="22"/>
        </w:rPr>
        <w:t>Считать production activation Cleaner эксплуатационным подтверждением, но не заменой повторяемого regression gate.</w:t>
      </w:r>
    </w:p>
    <w:p>
      <w:pPr>
        <w:pStyle w:val="Heading2"/>
        <w:keepNext/>
        <w:keepLines/>
      </w:pPr>
      <w:r>
        <w:t>7.2. Технический лидер</w:t>
      </w:r>
    </w:p>
    <w:p>
      <w:pPr>
        <w:spacing w:before="0" w:after="160" w:line="280" w:lineRule="auto"/>
        <w:numPr>
          <w:ilvl w:val="0"/>
          <w:numId w:val="10"/>
        </w:numPr>
        <w:keepLines/>
      </w:pPr>
      <w:r>
        <w:rPr>
          <w:rFonts w:ascii="Calibri" w:hAnsi="Calibri" w:eastAsia="Calibri"/>
          <w:color w:val="1F2937"/>
          <w:sz w:val="22"/>
        </w:rPr>
        <w:t>Создать отдельный TASK на четыре Visitor Registry failures и повторить полный suite в целевом Linux/Python environment.</w:t>
      </w:r>
    </w:p>
    <w:p>
      <w:pPr>
        <w:spacing w:before="0" w:after="160" w:line="280" w:lineRule="auto"/>
        <w:numPr>
          <w:ilvl w:val="0"/>
          <w:numId w:val="10"/>
        </w:numPr>
        <w:keepLines/>
      </w:pPr>
      <w:r>
        <w:rPr>
          <w:rFonts w:ascii="Calibri" w:hAnsi="Calibri" w:eastAsia="Calibri"/>
          <w:color w:val="1F2937"/>
          <w:sz w:val="22"/>
        </w:rPr>
        <w:t>Создать отдельный узкий TASK на token invalidation race при -44112; добавить focused concurrency test, не меняя reconnect-only policy.</w:t>
      </w:r>
    </w:p>
    <w:p>
      <w:pPr>
        <w:spacing w:before="0" w:after="160" w:line="280" w:lineRule="auto"/>
        <w:numPr>
          <w:ilvl w:val="0"/>
          <w:numId w:val="10"/>
        </w:numPr>
        <w:keepLines/>
      </w:pPr>
      <w:r>
        <w:rPr>
          <w:rFonts w:ascii="Calibri" w:hAnsi="Calibri" w:eastAsia="Calibri"/>
          <w:color w:val="1F2937"/>
          <w:sz w:val="22"/>
        </w:rPr>
        <w:t>Добавить GitHub Actions full gate: pytest, Node frontend tests, compileall и git diff --check.</w:t>
      </w:r>
    </w:p>
    <w:p>
      <w:pPr>
        <w:spacing w:before="0" w:after="160" w:line="280" w:lineRule="auto"/>
        <w:numPr>
          <w:ilvl w:val="0"/>
          <w:numId w:val="10"/>
        </w:numPr>
        <w:keepLines/>
      </w:pPr>
      <w:r>
        <w:rPr>
          <w:rFonts w:ascii="Calibri" w:hAnsi="Calibri" w:eastAsia="Calibri"/>
          <w:color w:val="1F2937"/>
          <w:sz w:val="22"/>
        </w:rPr>
        <w:t>Обновлять module contract и связанные architecture/testing/deployment docs в том же PR, где меняется поведение модуля.</w:t>
      </w:r>
    </w:p>
    <w:p>
      <w:pPr>
        <w:spacing w:before="0" w:after="160" w:line="280" w:lineRule="auto"/>
        <w:numPr>
          <w:ilvl w:val="0"/>
          <w:numId w:val="10"/>
        </w:numPr>
        <w:keepLines/>
      </w:pPr>
      <w:r>
        <w:rPr>
          <w:rFonts w:ascii="Calibri" w:hAnsi="Calibri" w:eastAsia="Calibri"/>
          <w:color w:val="1F2937"/>
          <w:sz w:val="22"/>
        </w:rPr>
        <w:t>Не включать настройку Grafana/Alloy/Loki и production systemd в Coder TASK без отдельного infrastructure/deploy scope.</w:t>
      </w:r>
    </w:p>
    <w:p>
      <w:pPr>
        <w:pStyle w:val="Heading1"/>
        <w:keepNext/>
        <w:keepLines/>
      </w:pPr>
      <w:r>
        <w:t>8. Правило дальнейшего сопровождения базы знаний</w:t>
      </w:r>
    </w:p>
    <w:p>
      <w:pPr>
        <w:spacing w:before="0" w:after="120" w:line="264" w:lineRule="auto"/>
        <w:keepLines/>
      </w:pPr>
      <w:r>
        <w:rPr>
          <w:rFonts w:ascii="Calibri" w:hAnsi="Calibri" w:eastAsia="Calibri"/>
          <w:i w:val="0"/>
          <w:color w:val="1F2937"/>
          <w:sz w:val="22"/>
        </w:rPr>
        <w:t>Базу знаний не требуется обновлять после каждого commit. Обновление обязательно, когда изменяется контракт или фактическое устройство проекта.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rHeight w:hRule="atLeast"/>
          <w:tblHeader w:val="true"/>
          <w:cantSplit/>
        </w:trPr>
        <w:tc>
          <w:tcPr>
            <w:tcW w:type="dxa" w:w="468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Обновлять обязательно</w:t>
            </w:r>
          </w:p>
        </w:tc>
        <w:tc>
          <w:tcPr>
            <w:tcW w:type="dxa" w:w="468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Обновлять не требуется</w:t>
            </w:r>
          </w:p>
        </w:tc>
      </w:tr>
      <w:tr>
        <w:trPr>
          <w:cantSplit/>
          <w:trHeight w:hRule="atLeast"/>
        </w:trPr>
        <w:tc>
          <w:tcPr>
            <w:tcW w:type="dxa" w:w="468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Добавлен, удалён или существенно изменён модуль</w:t>
            </w:r>
          </w:p>
        </w:tc>
        <w:tc>
          <w:tcPr>
            <w:tcW w:type="dxa" w:w="468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Опечатка, форматирование или редакционная правка без изменения смысла</w:t>
            </w:r>
          </w:p>
        </w:tc>
      </w:tr>
      <w:tr>
        <w:trPr>
          <w:cantSplit/>
          <w:trHeight w:hRule="atLeast"/>
        </w:trPr>
        <w:tc>
          <w:tcPr>
            <w:tcW w:type="dxa" w:w="468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Изменены API, env/config, defaults или feature flags</w:t>
            </w:r>
          </w:p>
        </w:tc>
        <w:tc>
          <w:tcPr>
            <w:tcW w:type="dxa" w:w="468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Внутренний refactor без изменения поведения и публичных контрактов</w:t>
            </w:r>
          </w:p>
        </w:tc>
      </w:tr>
      <w:tr>
        <w:trPr>
          <w:cantSplit/>
          <w:trHeight w:hRule="atLeast"/>
        </w:trPr>
        <w:tc>
          <w:tcPr>
            <w:tcW w:type="dxa" w:w="468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Изменены БД, JSONL, events, telemetry или storage paths</w:t>
            </w:r>
          </w:p>
        </w:tc>
        <w:tc>
          <w:tcPr>
            <w:tcW w:type="dxa" w:w="468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Добавлены tests к уже полностью описанному контракту</w:t>
            </w:r>
          </w:p>
        </w:tc>
      </w:tr>
      <w:tr>
        <w:trPr>
          <w:cantSplit/>
          <w:trHeight w:hRule="atLeast"/>
        </w:trPr>
        <w:tc>
          <w:tcPr>
            <w:tcW w:type="dxa" w:w="468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Изменены worker lifecycle, deployment, systemd/Docker boundaries</w:t>
            </w:r>
          </w:p>
        </w:tc>
        <w:tc>
          <w:tcPr>
            <w:tcW w:type="dxa" w:w="468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Мелкий технический commit, не меняющий source of truth</w:t>
            </w:r>
          </w:p>
        </w:tc>
      </w:tr>
      <w:tr>
        <w:trPr>
          <w:cantSplit/>
          <w:trHeight w:hRule="atLeast"/>
        </w:trPr>
        <w:tc>
          <w:tcPr>
            <w:tcW w:type="dxa" w:w="468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Принято ADR, найдено/устранено важное ограничение или изменён portal flow</w:t>
            </w:r>
          </w:p>
        </w:tc>
        <w:tc>
          <w:tcPr>
            <w:tcW w:type="dxa" w:w="468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Промежуточная экспериментальная ветка, не вошедшая в main</w:t>
            </w:r>
          </w:p>
        </w:tc>
      </w:tr>
    </w:tbl>
    <w:p>
      <w:pPr>
        <w:spacing w:after="0"/>
      </w:pPr>
    </w:p>
    <w:p>
      <w:pPr>
        <w:spacing w:before="0" w:after="120" w:line="264" w:lineRule="auto"/>
        <w:keepLines/>
      </w:pPr>
      <w:r>
        <w:rPr>
          <w:rFonts w:ascii="Calibri" w:hAnsi="Calibri" w:eastAsia="Calibri"/>
          <w:i w:val="0"/>
          <w:color w:val="1F2937"/>
          <w:sz w:val="22"/>
        </w:rPr>
        <w:t>Рекомендуемый процесс: после завершения модуля или существенной группы изменений выполнить сверку актуального main и обновить документацию в том же PR. Между задачами постоянный автоматический контроль GitHub не предполагается без отдельного CI/automation workflow.</w:t>
      </w:r>
    </w:p>
    <w:p>
      <w:pPr>
        <w:spacing w:before="100" w:after="160" w:line="264" w:lineRule="auto"/>
        <w:ind w:left="144" w:right="144"/>
        <w:shd w:fill="F4F6F9" w:val="clear"/>
        <w:pBdr>
          <w:top w:val="single" w:sz="4" w:space="5" w:color="D2DAE3"/>
          <w:left w:val="single" w:sz="4" w:space="5" w:color="D2DAE3"/>
          <w:bottom w:val="single" w:sz="4" w:space="5" w:color="D2DAE3"/>
          <w:right w:val="single" w:sz="4" w:space="5" w:color="D2DAE3"/>
        </w:pBdr>
        <w:keepLines/>
      </w:pPr>
      <w:r>
        <w:rPr>
          <w:rFonts w:ascii="Calibri" w:hAnsi="Calibri" w:eastAsia="Calibri"/>
          <w:b/>
          <w:color w:val="1F4D78"/>
          <w:sz w:val="22"/>
        </w:rPr>
        <w:t xml:space="preserve">Команда для агента: </w:t>
      </w:r>
      <w:r>
        <w:rPr>
          <w:rFonts w:ascii="Calibri" w:hAnsi="Calibri" w:eastAsia="Calibri"/>
          <w:color w:val="1F2937"/>
          <w:sz w:val="22"/>
        </w:rPr>
        <w:t>Модуль завершён. Сверь последние изменения в main с базой знаний и обнови её при необходимости.</w:t>
      </w:r>
    </w:p>
    <w:p>
      <w:pPr>
        <w:pStyle w:val="Heading1"/>
        <w:keepNext/>
        <w:keepLines/>
      </w:pPr>
      <w:r>
        <w:t>9. Финальный вердикт</w:t>
      </w:r>
    </w:p>
    <w:p>
      <w:pPr>
        <w:spacing w:before="100" w:after="160" w:line="264" w:lineRule="auto"/>
        <w:ind w:left="144" w:right="144"/>
        <w:shd w:fill="EAF4EC" w:val="clear"/>
        <w:pBdr>
          <w:top w:val="single" w:sz="4" w:space="5" w:color="D2DAE3"/>
          <w:left w:val="single" w:sz="4" w:space="5" w:color="D2DAE3"/>
          <w:bottom w:val="single" w:sz="4" w:space="5" w:color="D2DAE3"/>
          <w:right w:val="single" w:sz="4" w:space="5" w:color="D2DAE3"/>
        </w:pBdr>
        <w:keepLines/>
      </w:pPr>
      <w:r>
        <w:rPr>
          <w:rFonts w:ascii="Calibri" w:hAnsi="Calibri" w:eastAsia="Calibri"/>
          <w:b/>
          <w:color w:val="1F4D78"/>
          <w:sz w:val="22"/>
        </w:rPr>
        <w:t xml:space="preserve">Статус работы: </w:t>
      </w:r>
      <w:r>
        <w:rPr>
          <w:rFonts w:ascii="Calibri" w:hAnsi="Calibri" w:eastAsia="Calibri"/>
          <w:color w:val="1F2937"/>
          <w:sz w:val="22"/>
        </w:rPr>
        <w:t>ЗАВЕРШЕНО. База знаний создана, проверена, закоммичена, опубликована и по подтверждению владельца успешно влита в основную ветку. Она пригодна как текущая точка входа для архитектора, техлида и coding agents.</w:t>
      </w:r>
    </w:p>
    <w:p>
      <w:pPr>
        <w:spacing w:before="0" w:after="120" w:line="264" w:lineRule="auto"/>
        <w:keepLines/>
      </w:pPr>
      <w:r>
        <w:rPr>
          <w:rFonts w:ascii="Calibri" w:hAnsi="Calibri" w:eastAsia="Calibri"/>
          <w:i w:val="0"/>
          <w:color w:val="1F2937"/>
          <w:sz w:val="22"/>
        </w:rPr>
        <w:t>При этом релизный test status остаётся частичным до устранения четырёх Visitor Registry failures. Known limitation token invalidation в Cleaner документирован и должен быть вынесен в отдельный code TASK; он не замалчивается и не исправлялся внутри документационного PR.</w:t>
      </w:r>
    </w:p>
    <w:p>
      <w:pPr>
        <w:spacing w:before="0" w:after="120" w:line="264" w:lineRule="auto"/>
        <w:keepLines/>
      </w:pPr>
      <w:r>
        <w:rPr>
          <w:rFonts w:ascii="Calibri" w:hAnsi="Calibri" w:eastAsia="Calibri"/>
          <w:i w:val="0"/>
          <w:color w:val="1F2937"/>
          <w:sz w:val="22"/>
        </w:rPr>
        <w:t>Agent execution summary: выполнены source review, repository inventory, reconciliation current state vs change intent, documentation-only implementation, structural/static QA, Git handoff и финальная фиксация рисков. Runtime, production infrastructure и observability stack не изменялись.</w:t>
      </w:r>
    </w:p>
    <w:p>
      <w:pPr>
        <w:pStyle w:val="Heading1"/>
        <w:keepNext/>
        <w:keepLines/>
      </w:pPr>
      <w:r>
        <w:t>10. Лист приёмки</w:t>
      </w:r>
    </w:p>
    <w:p>
      <w:pPr>
        <w:spacing w:before="0" w:after="120" w:line="264" w:lineRule="auto"/>
        <w:keepLines/>
      </w:pPr>
      <w:r>
        <w:rPr>
          <w:rFonts w:ascii="Calibri" w:hAnsi="Calibri" w:eastAsia="Calibri"/>
          <w:i w:val="0"/>
          <w:color w:val="1F2937"/>
          <w:sz w:val="22"/>
        </w:rPr>
        <w:t>Таблица фиксирует не повторное тестирование базы знаний, а решения, которые остаются за владельцами соответствующих областей.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5200"/>
        <w:gridCol w:w="2060"/>
      </w:tblGrid>
      <w:tr>
        <w:trPr>
          <w:trHeight w:hRule="atLeast"/>
          <w:tblHeader w:val="true"/>
          <w:cantSplit/>
        </w:trPr>
        <w:tc>
          <w:tcPr>
            <w:tcW w:type="dxa" w:w="210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Роль</w:t>
            </w:r>
          </w:p>
        </w:tc>
        <w:tc>
          <w:tcPr>
            <w:tcW w:type="dxa" w:w="520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Решение</w:t>
            </w:r>
          </w:p>
        </w:tc>
        <w:tc>
          <w:tcPr>
            <w:tcW w:type="dxa" w:w="2060"/>
            <w:vAlign w:val="center"/>
            <w:shd w:fill="F2F4F7" w:val="clea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Состояние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Владелец проекта</w:t>
            </w:r>
          </w:p>
        </w:tc>
        <w:tc>
          <w:tcPr>
            <w:tcW w:type="dxa" w:w="52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Merge базы знаний в main и clean working tree</w:t>
            </w:r>
          </w:p>
        </w:tc>
        <w:tc>
          <w:tcPr>
            <w:tcW w:type="dxa" w:w="20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ПОДТВЕРЖДЕНО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Архитектор</w:t>
            </w:r>
          </w:p>
        </w:tc>
        <w:tc>
          <w:tcPr>
            <w:tcW w:type="dxa" w:w="52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Утвердить новую карту источников истины и правила TASK → PLAN → ADR</w:t>
            </w:r>
          </w:p>
        </w:tc>
        <w:tc>
          <w:tcPr>
            <w:tcW w:type="dxa" w:w="20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НА РЕВЬЮ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Архитектор</w:t>
            </w:r>
          </w:p>
        </w:tc>
        <w:tc>
          <w:tcPr>
            <w:tcW w:type="dxa" w:w="52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Принять пофайловое решение по 9 superseded documents</w:t>
            </w:r>
          </w:p>
        </w:tc>
        <w:tc>
          <w:tcPr>
            <w:tcW w:type="dxa" w:w="20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ОТДЕЛЬНО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Технический лидер</w:t>
            </w:r>
          </w:p>
        </w:tc>
        <w:tc>
          <w:tcPr>
            <w:tcW w:type="dxa" w:w="52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Назначить TASK на 4 Visitor Registry failures</w:t>
            </w:r>
          </w:p>
        </w:tc>
        <w:tc>
          <w:tcPr>
            <w:tcW w:type="dxa" w:w="20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ТРЕБУЕТСЯ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Технический лидер</w:t>
            </w:r>
          </w:p>
        </w:tc>
        <w:tc>
          <w:tcPr>
            <w:tcW w:type="dxa" w:w="52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Назначить focused TASK/test на Cleaner token invalidation window</w:t>
            </w:r>
          </w:p>
        </w:tc>
        <w:tc>
          <w:tcPr>
            <w:tcW w:type="dxa" w:w="20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ТРЕБУЕТСЯ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Технический лидер</w:t>
            </w:r>
          </w:p>
        </w:tc>
        <w:tc>
          <w:tcPr>
            <w:tcW w:type="dxa" w:w="520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Определить CI full gate с Python и Node.js</w:t>
            </w:r>
          </w:p>
        </w:tc>
        <w:tc>
          <w:tcPr>
            <w:tcW w:type="dxa" w:w="2060"/>
            <w:vAlign w:val="center"/>
            <w:tcBorders>
              <w:top w:val="single" w:sz="4" w:space="0" w:color="B9C5D1"/>
              <w:left w:val="single" w:sz="4" w:space="0" w:color="B9C5D1"/>
              <w:bottom w:val="single" w:sz="4" w:space="0" w:color="B9C5D1"/>
              <w:right w:val="single" w:sz="4" w:space="0" w:color="B9C5D1"/>
              <w:insideH w:val="single" w:sz="4" w:space="0" w:color="B9C5D1"/>
              <w:insideV w:val="single" w:sz="4" w:space="0" w:color="B9C5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ТРЕБУЕТСЯ</w:t>
            </w:r>
          </w:p>
        </w:tc>
      </w:tr>
    </w:tbl>
    <w:p>
      <w:pPr>
        <w:spacing w:after="0"/>
      </w:pPr>
    </w:p>
    <w:p>
      <w:pPr>
        <w:spacing w:before="0" w:after="120" w:line="264" w:lineRule="auto"/>
        <w:keepLines/>
      </w:pPr>
      <w:r>
        <w:rPr>
          <w:rFonts w:ascii="Calibri" w:hAnsi="Calibri" w:eastAsia="Calibri"/>
          <w:i w:val="0"/>
          <w:color w:val="1F2937"/>
          <w:sz w:val="22"/>
        </w:rPr>
        <w:t>После решений архитектора и назначения трёх технических задач документ может использоваться как финальный handoff без дополнительных пояснений из истории чатов.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B6573"/>
        <w:sz w:val="18"/>
      </w:rPr>
      <w:t xml:space="preserve">CaptivPortal  |  04.08.2026  |  Страница </w:t>
    </w:r>
    <w:r>
      <w:rPr>
        <w:rFonts w:ascii="Calibri" w:hAnsi="Calibri" w:eastAsia="Calibri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B6573"/>
        <w:sz w:val="17"/>
      </w:rPr>
      <w:t>CAPTIVPORTAL  •  ФИНАЛЬНЫЙ ОТЧЁТ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before="0" w:after="160" w:line="28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160" w:line="28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Финальный отчёт по CaptivPortal</dc:title>
  <dc:subject>Omada Open API, Pending Client Session Cleaner и проектная база знаний</dc:subject>
  <dc:creator>CaptivPortal project</dc:creator>
  <cp:keywords>CaptivPortal, Omada, Pending Client Session Cleaner, knowledge 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