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6"/>
          <w:szCs w:val="46"/>
        </w:rPr>
        <w:t xml:space="preserve">Small-Fleet Trucking Rater</w:t>
      </w:r>
    </w:p>
    <w:p>
      <w:pPr>
        <w:spacing w:after="40"/>
      </w:pPr>
      <w:r>
        <w:rPr>
          <w:b/>
          <w:bCs/>
          <w:color w:val="595959"/>
          <w:sz w:val="32"/>
          <w:szCs w:val="32"/>
        </w:rPr>
        <w:t xml:space="preserve">Audit Trail</w:t>
      </w:r>
    </w:p>
    <w:p>
      <w:pPr>
        <w:spacing w:after="400"/>
      </w:pPr>
      <w:r>
        <w:rPr>
          <w:i/>
          <w:iCs/>
          <w:color w:val="595959"/>
          <w:sz w:val="22"/>
          <w:szCs w:val="22"/>
        </w:rPr>
        <w:t xml:space="preserve">Final submission companion document · GLM frequency model</w:t>
      </w:r>
    </w:p>
    <w:p>
      <w:pPr>
        <w:spacing w:after="140" w:line="276"/>
      </w:pPr>
      <w:r>
        <w:t xml:space="preserve">This document records how the rater got from the original portfolio-credibility frequency model to the final submission: what changed at each stage, every issue found in testing (root cause, fix, and how the fix was verified), every judgment call made and why, and what's still open. It is written to answer the brief's requirement that “every judgment call” be cited, and to double as walkthrough prep.</w:t>
      </w:r>
    </w:p>
    <w:p>
      <w:pPr>
        <w:pStyle w:val="Heading1"/>
        <w:spacing w:after="160" w:before="320"/>
      </w:pPr>
      <w:r>
        <w:t xml:space="preserve">1. Version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6700"/>
      </w:tblGrid>
      <w:tr>
        <w:trPr>
          <w:tblHeader/>
        </w:trPr>
        <w:tc>
          <w:tcPr>
            <w:tcW w:type="dxa" w:w="1100"/>
            <w:shd w:fill="1F3A5F" w:val="clear"/>
            <w:tcMar>
              <w:top w:type="dxa" w:w="80"/>
              <w:left w:type="dxa" w:w="100"/>
              <w:bottom w:type="dxa" w:w="80"/>
              <w:right w:type="dxa" w:w="100"/>
            </w:tcMar>
          </w:tcPr>
          <w:p>
            <w:pPr>
              <w:jc w:val="left"/>
            </w:pPr>
            <w:r>
              <w:rPr>
                <w:b/>
                <w:bCs/>
                <w:color w:val="FFFFFF"/>
                <w:sz w:val="20"/>
                <w:szCs w:val="20"/>
              </w:rPr>
              <w:t xml:space="preserve">Version</w:t>
            </w:r>
          </w:p>
        </w:tc>
        <w:tc>
          <w:tcPr>
            <w:tcW w:type="dxa" w:w="2700"/>
            <w:shd w:fill="1F3A5F" w:val="clear"/>
            <w:tcMar>
              <w:top w:type="dxa" w:w="80"/>
              <w:left w:type="dxa" w:w="100"/>
              <w:bottom w:type="dxa" w:w="80"/>
              <w:right w:type="dxa" w:w="100"/>
            </w:tcMar>
          </w:tcPr>
          <w:p>
            <w:pPr>
              <w:jc w:val="left"/>
            </w:pPr>
            <w:r>
              <w:rPr>
                <w:b/>
                <w:bCs/>
                <w:color w:val="FFFFFF"/>
                <w:sz w:val="20"/>
                <w:szCs w:val="20"/>
              </w:rPr>
              <w:t xml:space="preserve">What changed</w:t>
            </w:r>
          </w:p>
        </w:tc>
        <w:tc>
          <w:tcPr>
            <w:tcW w:type="dxa" w:w="6700"/>
            <w:shd w:fill="1F3A5F" w:val="clear"/>
            <w:tcMar>
              <w:top w:type="dxa" w:w="80"/>
              <w:left w:type="dxa" w:w="100"/>
              <w:bottom w:type="dxa" w:w="80"/>
              <w:right w:type="dxa" w:w="100"/>
            </w:tcMar>
          </w:tcPr>
          <w:p>
            <w:pPr>
              <w:jc w:val="left"/>
            </w:pPr>
            <w:r>
              <w:rPr>
                <w:b/>
                <w:bCs/>
                <w:color w:val="FFFFFF"/>
                <w:sz w:val="20"/>
                <w:szCs w:val="20"/>
              </w:rPr>
              <w:t xml:space="preserve">Why</w:t>
            </w:r>
          </w:p>
        </w:tc>
      </w:tr>
      <w:tr>
        <w:tc>
          <w:tcPr>
            <w:tcW w:type="dxa" w:w="1100"/>
            <w:tcMar>
              <w:top w:type="dxa" w:w="80"/>
              <w:left w:type="dxa" w:w="100"/>
              <w:bottom w:type="dxa" w:w="80"/>
              <w:right w:type="dxa" w:w="100"/>
            </w:tcMar>
          </w:tcPr>
          <w:p>
            <w:pPr>
              <w:jc w:val="left"/>
            </w:pPr>
            <w:r>
              <w:rPr>
                <w:b w:val="false"/>
                <w:bCs w:val="false"/>
                <w:sz w:val="20"/>
                <w:szCs w:val="20"/>
              </w:rPr>
              <w:t xml:space="preserve">v1</w:t>
            </w:r>
          </w:p>
        </w:tc>
        <w:tc>
          <w:tcPr>
            <w:tcW w:type="dxa" w:w="2700"/>
            <w:tcMar>
              <w:top w:type="dxa" w:w="80"/>
              <w:left w:type="dxa" w:w="100"/>
              <w:bottom w:type="dxa" w:w="80"/>
              <w:right w:type="dxa" w:w="100"/>
            </w:tcMar>
          </w:tcPr>
          <w:p>
            <w:pPr>
              <w:jc w:val="left"/>
            </w:pPr>
            <w:r>
              <w:rPr>
                <w:b w:val="false"/>
                <w:bCs w:val="false"/>
                <w:sz w:val="20"/>
                <w:szCs w:val="20"/>
              </w:rPr>
              <w:t xml:space="preserve">Portfolio-average + credibility frequency, underwriting rules, premium build.</w:t>
            </w:r>
          </w:p>
        </w:tc>
        <w:tc>
          <w:tcPr>
            <w:tcW w:type="dxa" w:w="6700"/>
            <w:tcMar>
              <w:top w:type="dxa" w:w="80"/>
              <w:left w:type="dxa" w:w="100"/>
              <w:bottom w:type="dxa" w:w="80"/>
              <w:right w:type="dxa" w:w="100"/>
            </w:tcMar>
          </w:tcPr>
          <w:p>
            <w:pPr>
              <w:jc w:val="left"/>
            </w:pPr>
            <w:r>
              <w:rPr>
                <w:b w:val="false"/>
                <w:bCs w:val="false"/>
                <w:sz w:val="20"/>
                <w:szCs w:val="20"/>
              </w:rPr>
              <w:t xml:space="preserve">Original prototype: a working end-to-end rater with a simple, defensible frequency model.</w:t>
            </w:r>
          </w:p>
        </w:tc>
      </w:tr>
      <w:tr>
        <w:tc>
          <w:tcPr>
            <w:tcW w:type="dxa" w:w="1100"/>
            <w:tcMar>
              <w:top w:type="dxa" w:w="80"/>
              <w:left w:type="dxa" w:w="100"/>
              <w:bottom w:type="dxa" w:w="80"/>
              <w:right w:type="dxa" w:w="100"/>
            </w:tcMar>
          </w:tcPr>
          <w:p>
            <w:pPr>
              <w:jc w:val="left"/>
            </w:pPr>
            <w:r>
              <w:rPr>
                <w:b w:val="false"/>
                <w:bCs w:val="false"/>
                <w:sz w:val="20"/>
                <w:szCs w:val="20"/>
              </w:rPr>
              <w:t xml:space="preserve">v2</w:t>
            </w:r>
          </w:p>
        </w:tc>
        <w:tc>
          <w:tcPr>
            <w:tcW w:type="dxa" w:w="2700"/>
            <w:tcMar>
              <w:top w:type="dxa" w:w="80"/>
              <w:left w:type="dxa" w:w="100"/>
              <w:bottom w:type="dxa" w:w="80"/>
              <w:right w:type="dxa" w:w="100"/>
            </w:tcMar>
          </w:tcPr>
          <w:p>
            <w:pPr>
              <w:jc w:val="left"/>
            </w:pPr>
            <w:r>
              <w:rPr>
                <w:b w:val="false"/>
                <w:bCs w:val="false"/>
                <w:sz w:val="20"/>
                <w:szCs w:val="20"/>
              </w:rPr>
              <w:t xml:space="preserve">Poisson/Negative-Binomial GLM frequency model added (Steps 17A-17H). Legacy method retained, commented as legacy, not deleted.</w:t>
            </w:r>
          </w:p>
        </w:tc>
        <w:tc>
          <w:tcPr>
            <w:tcW w:type="dxa" w:w="6700"/>
            <w:tcMar>
              <w:top w:type="dxa" w:w="80"/>
              <w:left w:type="dxa" w:w="100"/>
              <w:bottom w:type="dxa" w:w="80"/>
              <w:right w:type="dxa" w:w="100"/>
            </w:tcMar>
          </w:tcPr>
          <w:p>
            <w:pPr>
              <w:jc w:val="left"/>
            </w:pPr>
            <w:r>
              <w:rPr>
                <w:b w:val="false"/>
                <w:bCs w:val="false"/>
                <w:sz w:val="20"/>
                <w:szCs w:val="20"/>
              </w:rPr>
              <w:t xml:space="preserve">The portfolio-average approach gives every claim-free carrier the same price; on a book that's ~95% claim-free, that's the anti-selection risk. The GLM differentiates clean-record carriers by characteristics that predict crashes.</w:t>
            </w:r>
          </w:p>
        </w:tc>
      </w:tr>
      <w:tr>
        <w:tc>
          <w:tcPr>
            <w:tcW w:type="dxa" w:w="1100"/>
            <w:tcMar>
              <w:top w:type="dxa" w:w="80"/>
              <w:left w:type="dxa" w:w="100"/>
              <w:bottom w:type="dxa" w:w="80"/>
              <w:right w:type="dxa" w:w="100"/>
            </w:tcMar>
          </w:tcPr>
          <w:p>
            <w:pPr>
              <w:jc w:val="left"/>
            </w:pPr>
            <w:r>
              <w:rPr>
                <w:b w:val="false"/>
                <w:bCs w:val="false"/>
                <w:sz w:val="20"/>
                <w:szCs w:val="20"/>
              </w:rPr>
              <w:t xml:space="preserve">v3</w:t>
            </w:r>
          </w:p>
        </w:tc>
        <w:tc>
          <w:tcPr>
            <w:tcW w:type="dxa" w:w="2700"/>
            <w:tcMar>
              <w:top w:type="dxa" w:w="80"/>
              <w:left w:type="dxa" w:w="100"/>
              <w:bottom w:type="dxa" w:w="80"/>
              <w:right w:type="dxa" w:w="100"/>
            </w:tcMar>
          </w:tcPr>
          <w:p>
            <w:pPr>
              <w:jc w:val="left"/>
            </w:pPr>
            <w:r>
              <w:rPr>
                <w:b w:val="false"/>
                <w:bCs w:val="false"/>
                <w:sz w:val="20"/>
                <w:szCs w:val="20"/>
              </w:rPr>
              <w:t xml:space="preserve">Three fixes after the first full run: (1) calibration sample re-pulled with an active/target-segment filter and stratified across DOT numbers, (2) risk-band validation fixed (rank before qcut), (3) credibility cap rebalanced with an off-balance factor.</w:t>
            </w:r>
          </w:p>
        </w:tc>
        <w:tc>
          <w:tcPr>
            <w:tcW w:type="dxa" w:w="6700"/>
            <w:tcMar>
              <w:top w:type="dxa" w:w="80"/>
              <w:left w:type="dxa" w:w="100"/>
              <w:bottom w:type="dxa" w:w="80"/>
              <w:right w:type="dxa" w:w="100"/>
            </w:tcMar>
          </w:tcPr>
          <w:p>
            <w:pPr>
              <w:jc w:val="left"/>
            </w:pPr>
            <w:r>
              <w:rPr>
                <w:b w:val="false"/>
                <w:bCs w:val="false"/>
                <w:sz w:val="20"/>
                <w:szCs w:val="20"/>
              </w:rPr>
              <w:t xml:space="preserve">The unstratified pull returned only the oldest FMCSA registrations (essentially constant carrier age, ~55% dormant, frequency ~10x too low). The risk-band qcut silently collapsed to one band on a near-constant prediction vector. The credibility cap underpriced the book by ~33% in aggregate because it is asymmetric.</w:t>
            </w:r>
          </w:p>
        </w:tc>
      </w:tr>
      <w:tr>
        <w:tc>
          <w:tcPr>
            <w:tcW w:type="dxa" w:w="1100"/>
            <w:tcMar>
              <w:top w:type="dxa" w:w="80"/>
              <w:left w:type="dxa" w:w="100"/>
              <w:bottom w:type="dxa" w:w="80"/>
              <w:right w:type="dxa" w:w="100"/>
            </w:tcMar>
          </w:tcPr>
          <w:p>
            <w:pPr>
              <w:jc w:val="left"/>
            </w:pPr>
            <w:r>
              <w:rPr>
                <w:b w:val="false"/>
                <w:bCs w:val="false"/>
                <w:sz w:val="20"/>
                <w:szCs w:val="20"/>
              </w:rPr>
              <w:t xml:space="preserve">v4</w:t>
            </w:r>
          </w:p>
        </w:tc>
        <w:tc>
          <w:tcPr>
            <w:tcW w:type="dxa" w:w="2700"/>
            <w:tcMar>
              <w:top w:type="dxa" w:w="80"/>
              <w:left w:type="dxa" w:w="100"/>
              <w:bottom w:type="dxa" w:w="80"/>
              <w:right w:type="dxa" w:w="100"/>
            </w:tcMar>
          </w:tcPr>
          <w:p>
            <w:pPr>
              <w:jc w:val="left"/>
            </w:pPr>
            <w:r>
              <w:rPr>
                <w:b w:val="false"/>
                <w:bCs w:val="false"/>
                <w:sz w:val="20"/>
                <w:szCs w:val="20"/>
              </w:rPr>
              <w:t xml:space="preserve">Census retrieval query fixed: power_units cast with ::number, wrapped in a 3-tier WHERE-clause fallback (filtered+cast -&gt; status only -&gt; no filter).</w:t>
            </w:r>
          </w:p>
        </w:tc>
        <w:tc>
          <w:tcPr>
            <w:tcW w:type="dxa" w:w="6700"/>
            <w:tcMar>
              <w:top w:type="dxa" w:w="80"/>
              <w:left w:type="dxa" w:w="100"/>
              <w:bottom w:type="dxa" w:w="80"/>
              <w:right w:type="dxa" w:w="100"/>
            </w:tcMar>
          </w:tcPr>
          <w:p>
            <w:pPr>
              <w:jc w:val="left"/>
            </w:pPr>
            <w:r>
              <w:rPr>
                <w:b w:val="false"/>
                <w:bCs w:val="false"/>
                <w:sz w:val="20"/>
                <w:szCs w:val="20"/>
              </w:rPr>
              <w:t xml:space="preserve">Socrata rejected power_units &gt;= 1 with a type-mismatch error on this table. The IN(...) list alternative considered was rejected as fragile (depends on exact string formatting); a cast plus a fallback ladder is more robust and was verified against four mocked failure scenarios.</w:t>
            </w:r>
          </w:p>
        </w:tc>
      </w:tr>
      <w:tr>
        <w:tc>
          <w:tcPr>
            <w:tcW w:type="dxa" w:w="1100"/>
            <w:shd w:fill="E7F3EC" w:val="clear"/>
            <w:tcMar>
              <w:top w:type="dxa" w:w="80"/>
              <w:left w:type="dxa" w:w="100"/>
              <w:bottom w:type="dxa" w:w="80"/>
              <w:right w:type="dxa" w:w="100"/>
            </w:tcMar>
          </w:tcPr>
          <w:p>
            <w:pPr>
              <w:jc w:val="left"/>
            </w:pPr>
            <w:r>
              <w:rPr>
                <w:b w:val="false"/>
                <w:bCs w:val="false"/>
                <w:sz w:val="20"/>
                <w:szCs w:val="20"/>
              </w:rPr>
              <w:t xml:space="preserve">v5 (final)</w:t>
            </w:r>
          </w:p>
        </w:tc>
        <w:tc>
          <w:tcPr>
            <w:tcW w:type="dxa" w:w="2700"/>
            <w:shd w:fill="E7F3EC" w:val="clear"/>
            <w:tcMar>
              <w:top w:type="dxa" w:w="80"/>
              <w:left w:type="dxa" w:w="100"/>
              <w:bottom w:type="dxa" w:w="80"/>
              <w:right w:type="dxa" w:w="100"/>
            </w:tcMar>
          </w:tcPr>
          <w:p>
            <w:pPr>
              <w:jc w:val="left"/>
            </w:pPr>
            <w:r>
              <w:rPr>
                <w:b w:val="false"/>
                <w:bCs w:val="false"/>
                <w:sz w:val="20"/>
                <w:szCs w:val="20"/>
              </w:rPr>
              <w:t xml:space="preserve">Plumbing extracted into a lib/ package (Socrata API helpers, GLM fitting engine, legacy frequency formula). Table of contents and repository-layout note added. No logic changed.</w:t>
            </w:r>
          </w:p>
        </w:tc>
        <w:tc>
          <w:tcPr>
            <w:tcW w:type="dxa" w:w="6700"/>
            <w:shd w:fill="E7F3EC" w:val="clear"/>
            <w:tcMar>
              <w:top w:type="dxa" w:w="80"/>
              <w:left w:type="dxa" w:w="100"/>
              <w:bottom w:type="dxa" w:w="80"/>
              <w:right w:type="dxa" w:w="100"/>
            </w:tcMar>
          </w:tcPr>
          <w:p>
            <w:pPr>
              <w:jc w:val="left"/>
            </w:pPr>
            <w:r>
              <w:rPr>
                <w:b w:val="false"/>
                <w:bCs w:val="false"/>
                <w:sz w:val="20"/>
                <w:szCs w:val="20"/>
              </w:rPr>
              <w:t xml:space="preserve">Presentation only. Verified bit-for-bit identical against v4 on every checked figure (portfolio frequency, GLM coefficients, AIC/log-likelihood, blended frequency, off-balance factor) before shipping -- see §2.</w:t>
            </w:r>
          </w:p>
        </w:tc>
      </w:tr>
    </w:tbl>
    <w:p>
      <w:pPr>
        <w:pStyle w:val="Heading1"/>
        <w:spacing w:after="160" w:before="320"/>
      </w:pPr>
      <w:r>
        <w:t xml:space="preserve">2. Issues Found and Fixed</w:t>
      </w:r>
    </w:p>
    <w:p>
      <w:pPr>
        <w:spacing w:after="140" w:line="276"/>
      </w:pPr>
      <w:r>
        <w:t xml:space="preserve">Three issues surfaced on the first full run against real FMCSA data; a fourth (a Socrata query error) surfaced when the fix for the first was first run live. All four are fixed in the final submission. Each entry below states what was observed, why it happened, what was changed, and how the change was checked.</w:t>
      </w:r>
    </w:p>
    <w:p>
      <w:pPr>
        <w:pStyle w:val="Heading3"/>
        <w:spacing w:after="100" w:before="200"/>
      </w:pPr>
      <w:r>
        <w:t xml:space="preserve">Issue 1 — Calibration sample was not representative</w:t>
      </w:r>
    </w:p>
    <w:p>
      <w:pPr>
        <w:spacing w:after="100"/>
      </w:pPr>
      <w:r>
        <w:rPr>
          <w:b/>
          <w:bCs/>
        </w:rPr>
        <w:t xml:space="preserve">Found:  </w:t>
      </w:r>
      <w:r>
        <w:t xml:space="preserve">add_date was ~1974-06-01 for essentially every calibration carrier (zero variance in carrier age); ~55% of the pull had zero power units; measured portfolio frequency came out at ~0.5 crashes per 100 power units per year, roughly an order of magnitude below published FMCSA crash-rate figures for for-hire operations. Only two GLM variables came out significant (hazmat 4.15x, a drivers-missing flag 0.24x) and both were proxies for ‘is this carrier still operating’ rather than risk signals.</w:t>
      </w:r>
    </w:p>
    <w:p>
      <w:pPr>
        <w:spacing w:after="100"/>
      </w:pPr>
      <w:r>
        <w:rPr>
          <w:b/>
          <w:bCs/>
        </w:rPr>
        <w:t xml:space="preserve">Root cause:  </w:t>
      </w:r>
      <w:r>
        <w:t xml:space="preserve">The original pull used $limit with no $order, so Socrata returned rows in USDOT-number order — i.e. the oldest registrations in the file, not a cross-section of the market.</w:t>
      </w:r>
    </w:p>
    <w:p>
      <w:pPr>
        <w:spacing w:after="100"/>
      </w:pPr>
      <w:r>
        <w:rPr>
          <w:b/>
          <w:bCs/>
        </w:rPr>
        <w:t xml:space="preserve">Fix:  </w:t>
      </w:r>
      <w:r>
        <w:t xml:space="preserve">Census retrieval (Step 6) now filters server-side to active carriers (status_code = 'A') in the 1–5 power-unit target segment, and stratifies the pull evenly across the DOT-number range instead of taking the front of the file, so every registration vintage is represented.</w:t>
      </w:r>
    </w:p>
    <w:p>
      <w:pPr>
        <w:spacing w:after="100"/>
      </w:pPr>
      <w:r>
        <w:rPr>
          <w:b/>
          <w:bCs/>
        </w:rPr>
        <w:t xml:space="preserve">Verification:  </w:t>
      </w:r>
      <w:r>
        <w:t xml:space="preserve">Step 6 now prints a registration-date spread check (earliest/median/latest/distinct years) and warns outright if the sample is degenerate — the diagnostic that would have caught the original problem immediately. Re-running against live data and confirming distinct years &gt; 2 is the acceptance test.</w:t>
      </w:r>
    </w:p>
    <w:p>
      <w:pPr>
        <w:pStyle w:val="Heading3"/>
        <w:spacing w:after="100" w:before="200"/>
      </w:pPr>
      <w:r>
        <w:t xml:space="preserve">Issue 2 — Risk-band validation was silently a no-op</w:t>
      </w:r>
    </w:p>
    <w:p>
      <w:pPr>
        <w:spacing w:after="100"/>
      </w:pPr>
      <w:r>
        <w:rPr>
          <w:b/>
          <w:bCs/>
        </w:rPr>
        <w:t xml:space="preserve">Found:  </w:t>
      </w:r>
      <w:r>
        <w:t xml:space="preserve">The held-out frequency-by-predicted-risk-band table (Step 17F) returned a single row instead of five bands.</w:t>
      </w:r>
    </w:p>
    <w:p>
      <w:pPr>
        <w:spacing w:after="100"/>
      </w:pPr>
      <w:r>
        <w:rPr>
          <w:b/>
          <w:bCs/>
        </w:rPr>
        <w:t xml:space="preserve">Root cause:  </w:t>
      </w:r>
      <w:r>
        <w:t xml:space="preserve">pd.qcut(..., duplicates="drop") on a near-constant prediction vector (itself a symptom of Issue 1) drops every bin edge and collapses to one band, which silently turns the segmentation test into a no-op rather than raising an error.</w:t>
      </w:r>
    </w:p>
    <w:p>
      <w:pPr>
        <w:spacing w:after="100"/>
      </w:pPr>
      <w:r>
        <w:rPr>
          <w:b/>
          <w:bCs/>
        </w:rPr>
        <w:t xml:space="preserve">Fix:  </w:t>
      </w:r>
      <w:r>
        <w:t xml:space="preserve">Both risk_band_table() (Step 17F) and _band_lift() (Step 17G) now rank the predictions before cutting (pd.qcut(series.rank(method="first"), q=n_bands, ...)), which guarantees n equal-count bands regardless of how concentrated the predictions are. A note prints if there are fewer distinct predicted values than bands.</w:t>
      </w:r>
    </w:p>
    <w:p>
      <w:pPr>
        <w:spacing w:after="100"/>
      </w:pPr>
      <w:r>
        <w:rPr>
          <w:b/>
          <w:bCs/>
        </w:rPr>
        <w:t xml:space="preserve">Verification:  </w:t>
      </w:r>
      <w:r>
        <w:t xml:space="preserve">Verified directly: ranking a fully constant 100-element test series still produces 5 bands of 20 carriers each, versus 1 band under the original code.</w:t>
      </w:r>
    </w:p>
    <w:p>
      <w:pPr>
        <w:pStyle w:val="Heading3"/>
        <w:spacing w:after="100" w:before="200"/>
      </w:pPr>
      <w:r>
        <w:t xml:space="preserve">Issue 3 — Credibility cap underpriced the book</w:t>
      </w:r>
    </w:p>
    <w:p>
      <w:pPr>
        <w:spacing w:after="100"/>
      </w:pPr>
      <w:r>
        <w:rPr>
          <w:b/>
          <w:bCs/>
        </w:rPr>
        <w:t xml:space="preserve">Found:  </w:t>
      </w:r>
      <w:r>
        <w:t xml:space="preserve">Exposure-weighted blended frequency came out ~33% below the observed portfolio frequency on the first full run — i.e. the guardrail meant to protect against extreme individual prices was quietly discounting the whole book.</w:t>
      </w:r>
    </w:p>
    <w:p>
      <w:pPr>
        <w:spacing w:after="100"/>
      </w:pPr>
      <w:r>
        <w:rPr>
          <w:b/>
          <w:bCs/>
        </w:rPr>
        <w:t xml:space="preserve">Root cause:  </w:t>
      </w:r>
      <w:r>
        <w:t xml:space="preserve">The 0.5x–3.0x clamp around the GLM expectation is asymmetric: it lifts every claim-free carrier to the floor while truncating most of the experience of a carrier with a crash on a thin exposure base. The two effects don't offset, and credibility blending is only balanced in aggregate if it isn't capped.</w:t>
      </w:r>
    </w:p>
    <w:p>
      <w:pPr>
        <w:spacing w:after="100"/>
      </w:pPr>
      <w:r>
        <w:rPr>
          <w:b/>
          <w:bCs/>
        </w:rPr>
        <w:t xml:space="preserve">Fix:  </w:t>
      </w:r>
      <w:r>
        <w:t xml:space="preserve">The cap is kept (no individual risk should get an indefensible price) and a single BLEND_OFF_BALANCE_FACTOR is computed — observed portfolio frequency ÷ exposure-weighted capped blend — and applied across the book. The factor is printed and saved with every run, and REBALANCE_BLEND_CAP=False reproduces the uncapped-correction view for comparison.</w:t>
      </w:r>
    </w:p>
    <w:p>
      <w:pPr>
        <w:spacing w:after="100"/>
      </w:pPr>
      <w:r>
        <w:rPr>
          <w:b/>
          <w:bCs/>
        </w:rPr>
        <w:t xml:space="preserve">Verification:  </w:t>
      </w:r>
      <w:r>
        <w:t xml:space="preserve">Step 17H prints observed vs. GLM-alone vs. blend-before-cap vs. blend-after-cap vs. legacy, so the imbalance and the correction are both visible on every run, not asserted after the fact.</w:t>
      </w:r>
    </w:p>
    <w:p>
      <w:pPr>
        <w:pStyle w:val="Heading3"/>
        <w:spacing w:after="100" w:before="200"/>
      </w:pPr>
      <w:r>
        <w:t xml:space="preserve">Issue 4 — Socrata rejected the power_units filter</w:t>
      </w:r>
    </w:p>
    <w:p>
      <w:pPr>
        <w:spacing w:after="100"/>
      </w:pPr>
      <w:r>
        <w:rPr>
          <w:b/>
          <w:bCs/>
        </w:rPr>
        <w:t xml:space="preserve">Found:  </w:t>
      </w:r>
      <w:r>
        <w:t xml:space="preserve">400 Bad Request: “Type mismatch for op$&gt;=, is number” on power_units &gt;= 1, both on the count query and the data pull, which crashed the notebook.</w:t>
      </w:r>
    </w:p>
    <w:p>
      <w:pPr>
        <w:spacing w:after="100"/>
      </w:pPr>
      <w:r>
        <w:rPr>
          <w:b/>
          <w:bCs/>
        </w:rPr>
        <w:t xml:space="preserve">Root cause:  </w:t>
      </w:r>
      <w:r>
        <w:t xml:space="preserve">power_units is not typed as Number in this Socrata table's schema, even though its values are numeric-looking. This is a known quirk on some FMCSA Socrata tables.</w:t>
      </w:r>
    </w:p>
    <w:p>
      <w:pPr>
        <w:spacing w:after="100"/>
      </w:pPr>
      <w:r>
        <w:rPr>
          <w:b/>
          <w:bCs/>
        </w:rPr>
        <w:t xml:space="preserve">Fix:  </w:t>
      </w:r>
      <w:r>
        <w:t xml:space="preserve">The filter now casts explicitly (power_units::number &gt;= 1), wrapped in a three-tier fallback: (a) status + cast power_units filter, (b) status only, (c) no filter at all. Step 14's existing client-side filter to the target segment makes correctness independent of which tier succeeds — a weaker tier only costs sample efficiency, never a wrong answer.</w:t>
      </w:r>
    </w:p>
    <w:p>
      <w:pPr>
        <w:spacing w:after="100"/>
      </w:pPr>
      <w:r>
        <w:rPr>
          <w:b/>
          <w:bCs/>
        </w:rPr>
        <w:t xml:space="preserve">Verification:  </w:t>
      </w:r>
      <w:r>
        <w:t xml:space="preserve">The fallback ladder was tested against four mocked scenarios (cast succeeds; cast fails / status succeeds; all WHERE clauses fail / unfiltered succeeds; total outage) and behaved correctly in all four — including raising a clear RuntimeError, not a stack trace from an unrelated failure, on total outage.</w:t>
      </w:r>
    </w:p>
    <w:p>
      <w:pPr>
        <w:pStyle w:val="Heading1"/>
        <w:spacing w:after="160" w:before="320"/>
      </w:pPr>
      <w:r>
        <w:t xml:space="preserve">3. Judgment Call Log</w:t>
      </w:r>
    </w:p>
    <w:p>
      <w:pPr>
        <w:spacing w:after="140" w:line="276"/>
      </w:pPr>
      <w:r>
        <w:t xml:space="preserve">Every place a number or a rule was chosen rather than derived, with the reasoning and, where relevant, what to revisit.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500"/>
      </w:tblGrid>
      <w:tr>
        <w:trPr>
          <w:tblHeader/>
        </w:trPr>
        <w:tc>
          <w:tcPr>
            <w:tcW w:type="dxa" w:w="2200"/>
            <w:shd w:fill="1F3A5F" w:val="clear"/>
            <w:tcMar>
              <w:top w:type="dxa" w:w="80"/>
              <w:left w:type="dxa" w:w="100"/>
              <w:bottom w:type="dxa" w:w="80"/>
              <w:right w:type="dxa" w:w="100"/>
            </w:tcMar>
          </w:tcPr>
          <w:p>
            <w:pPr>
              <w:jc w:val="left"/>
            </w:pPr>
            <w:r>
              <w:rPr>
                <w:b/>
                <w:bCs/>
                <w:color w:val="FFFFFF"/>
                <w:sz w:val="20"/>
                <w:szCs w:val="20"/>
              </w:rPr>
              <w:t xml:space="preserve">Judgment call</w:t>
            </w:r>
          </w:p>
        </w:tc>
        <w:tc>
          <w:tcPr>
            <w:tcW w:type="dxa" w:w="3800"/>
            <w:shd w:fill="1F3A5F" w:val="clear"/>
            <w:tcMar>
              <w:top w:type="dxa" w:w="80"/>
              <w:left w:type="dxa" w:w="100"/>
              <w:bottom w:type="dxa" w:w="80"/>
              <w:right w:type="dxa" w:w="100"/>
            </w:tcMar>
          </w:tcPr>
          <w:p>
            <w:pPr>
              <w:jc w:val="left"/>
            </w:pPr>
            <w:r>
              <w:rPr>
                <w:b/>
                <w:bCs/>
                <w:color w:val="FFFFFF"/>
                <w:sz w:val="20"/>
                <w:szCs w:val="20"/>
              </w:rPr>
              <w:t xml:space="preserve">Choice made</w:t>
            </w:r>
          </w:p>
        </w:tc>
        <w:tc>
          <w:tcPr>
            <w:tcW w:type="dxa" w:w="4500"/>
            <w:shd w:fill="1F3A5F" w:val="clear"/>
            <w:tcMar>
              <w:top w:type="dxa" w:w="80"/>
              <w:left w:type="dxa" w:w="100"/>
              <w:bottom w:type="dxa" w:w="80"/>
              <w:right w:type="dxa" w:w="100"/>
            </w:tcMar>
          </w:tcPr>
          <w:p>
            <w:pPr>
              <w:jc w:val="left"/>
            </w:pPr>
            <w:r>
              <w:rPr>
                <w:b/>
                <w:bCs/>
                <w:color w:val="FFFFFF"/>
                <w:sz w:val="20"/>
                <w:szCs w:val="20"/>
              </w:rPr>
              <w:t xml:space="preserve">Why / what to watch</w:t>
            </w:r>
          </w:p>
        </w:tc>
      </w:tr>
      <w:tr>
        <w:tc>
          <w:tcPr>
            <w:tcW w:type="dxa" w:w="2200"/>
            <w:tcMar>
              <w:top w:type="dxa" w:w="80"/>
              <w:left w:type="dxa" w:w="100"/>
              <w:bottom w:type="dxa" w:w="80"/>
              <w:right w:type="dxa" w:w="100"/>
            </w:tcMar>
          </w:tcPr>
          <w:p>
            <w:pPr>
              <w:jc w:val="left"/>
            </w:pPr>
            <w:r>
              <w:rPr>
                <w:b w:val="false"/>
                <w:bCs w:val="false"/>
                <w:sz w:val="20"/>
                <w:szCs w:val="20"/>
              </w:rPr>
              <w:t xml:space="preserve">Exposure base</w:t>
            </w:r>
          </w:p>
        </w:tc>
        <w:tc>
          <w:tcPr>
            <w:tcW w:type="dxa" w:w="3800"/>
            <w:tcMar>
              <w:top w:type="dxa" w:w="80"/>
              <w:left w:type="dxa" w:w="100"/>
              <w:bottom w:type="dxa" w:w="80"/>
              <w:right w:type="dxa" w:w="100"/>
            </w:tcMar>
          </w:tcPr>
          <w:p>
            <w:pPr>
              <w:jc w:val="left"/>
            </w:pPr>
            <w:r>
              <w:rPr>
                <w:b w:val="false"/>
                <w:bCs w:val="false"/>
                <w:sz w:val="20"/>
                <w:szCs w:val="20"/>
              </w:rPr>
              <w:t xml:space="preserve">Power units × years on risk, years capped at the carrier's own age (floor 0.5 yr).</w:t>
            </w:r>
          </w:p>
        </w:tc>
        <w:tc>
          <w:tcPr>
            <w:tcW w:type="dxa" w:w="4500"/>
            <w:tcMar>
              <w:top w:type="dxa" w:w="80"/>
              <w:left w:type="dxa" w:w="100"/>
              <w:bottom w:type="dxa" w:w="80"/>
              <w:right w:type="dxa" w:w="100"/>
            </w:tcMar>
          </w:tcPr>
          <w:p>
            <w:pPr>
              <w:jc w:val="left"/>
            </w:pPr>
            <w:r>
              <w:rPr>
                <w:b w:val="false"/>
                <w:bCs w:val="false"/>
                <w:sz w:val="20"/>
                <w:szCs w:val="20"/>
              </w:rPr>
              <w:t xml:space="preserve">A carrier registered 8 months ago hasn't been exposed for 3 years; charging it 3 unit-years understates frequency and makes the 'new carrier' effect partly a lookback artefact. USE_AGE_CAPPED_EXPOSURE toggles this.</w:t>
            </w:r>
          </w:p>
        </w:tc>
      </w:tr>
      <w:tr>
        <w:tc>
          <w:tcPr>
            <w:tcW w:type="dxa" w:w="2200"/>
            <w:tcMar>
              <w:top w:type="dxa" w:w="80"/>
              <w:left w:type="dxa" w:w="100"/>
              <w:bottom w:type="dxa" w:w="80"/>
              <w:right w:type="dxa" w:w="100"/>
            </w:tcMar>
          </w:tcPr>
          <w:p>
            <w:pPr>
              <w:jc w:val="left"/>
            </w:pPr>
            <w:r>
              <w:rPr>
                <w:b w:val="false"/>
                <w:bCs w:val="false"/>
                <w:sz w:val="20"/>
                <w:szCs w:val="20"/>
              </w:rPr>
              <w:t xml:space="preserve">Thin categorical levels</w:t>
            </w:r>
          </w:p>
        </w:tc>
        <w:tc>
          <w:tcPr>
            <w:tcW w:type="dxa" w:w="3800"/>
            <w:tcMar>
              <w:top w:type="dxa" w:w="80"/>
              <w:left w:type="dxa" w:w="100"/>
              <w:bottom w:type="dxa" w:w="80"/>
              <w:right w:type="dxa" w:w="100"/>
            </w:tcMar>
          </w:tcPr>
          <w:p>
            <w:pPr>
              <w:jc w:val="left"/>
            </w:pPr>
            <w:r>
              <w:rPr>
                <w:b w:val="false"/>
                <w:bCs w:val="false"/>
                <w:sz w:val="20"/>
                <w:szCs w:val="20"/>
              </w:rPr>
              <w:t xml:space="preserve">Levels with &lt; MIN_LEVEL_UNIT_YEARS (250) of exposure are pooled into 'Other' rather than given their own coefficient.</w:t>
            </w:r>
          </w:p>
        </w:tc>
        <w:tc>
          <w:tcPr>
            <w:tcW w:type="dxa" w:w="4500"/>
            <w:tcMar>
              <w:top w:type="dxa" w:w="80"/>
              <w:left w:type="dxa" w:w="100"/>
              <w:bottom w:type="dxa" w:w="80"/>
              <w:right w:type="dxa" w:w="100"/>
            </w:tcMar>
          </w:tcPr>
          <w:p>
            <w:pPr>
              <w:jc w:val="left"/>
            </w:pPr>
            <w:r>
              <w:rPr>
                <w:b w:val="false"/>
                <w:bCs w:val="false"/>
                <w:sz w:val="20"/>
                <w:szCs w:val="20"/>
              </w:rPr>
              <w:t xml:space="preserve">A level with 40 unit-years behind it produces a relativity that's noise. Reference level is chosen as the highest-exposure level, so the intercept describes a typical carrier.</w:t>
            </w:r>
          </w:p>
        </w:tc>
      </w:tr>
      <w:tr>
        <w:tc>
          <w:tcPr>
            <w:tcW w:type="dxa" w:w="2200"/>
            <w:tcMar>
              <w:top w:type="dxa" w:w="80"/>
              <w:left w:type="dxa" w:w="100"/>
              <w:bottom w:type="dxa" w:w="80"/>
              <w:right w:type="dxa" w:w="100"/>
            </w:tcMar>
          </w:tcPr>
          <w:p>
            <w:pPr>
              <w:jc w:val="left"/>
            </w:pPr>
            <w:r>
              <w:rPr>
                <w:b w:val="false"/>
                <w:bCs w:val="false"/>
                <w:sz w:val="20"/>
                <w:szCs w:val="20"/>
              </w:rPr>
              <w:t xml:space="preserve">Negative Binomial vs Poisson</w:t>
            </w:r>
          </w:p>
        </w:tc>
        <w:tc>
          <w:tcPr>
            <w:tcW w:type="dxa" w:w="3800"/>
            <w:tcMar>
              <w:top w:type="dxa" w:w="80"/>
              <w:left w:type="dxa" w:w="100"/>
              <w:bottom w:type="dxa" w:w="80"/>
              <w:right w:type="dxa" w:w="100"/>
            </w:tcMar>
          </w:tcPr>
          <w:p>
            <w:pPr>
              <w:jc w:val="left"/>
            </w:pPr>
            <w:r>
              <w:rPr>
                <w:b w:val="false"/>
                <w:bCs w:val="false"/>
                <w:sz w:val="20"/>
                <w:szCs w:val="20"/>
              </w:rPr>
              <w:t xml:space="preserve">NB is fitted and tested over an alpha grid only if Pearson chi2/df &gt; 1.25, and only adopted if it beats Poisson AIC by ≥ 4.</w:t>
            </w:r>
          </w:p>
        </w:tc>
        <w:tc>
          <w:tcPr>
            <w:tcW w:type="dxa" w:w="4500"/>
            <w:tcMar>
              <w:top w:type="dxa" w:w="80"/>
              <w:left w:type="dxa" w:w="100"/>
              <w:bottom w:type="dxa" w:w="80"/>
              <w:right w:type="dxa" w:w="100"/>
            </w:tcMar>
          </w:tcPr>
          <w:p>
            <w:pPr>
              <w:jc w:val="left"/>
            </w:pPr>
            <w:r>
              <w:rPr>
                <w:b w:val="false"/>
                <w:bCs w:val="false"/>
                <w:sz w:val="20"/>
                <w:szCs w:val="20"/>
              </w:rPr>
              <w:t xml:space="preserve">Avoids adding model complexity the data doesn't support. On the real pull, dispersion was high (~7) and alpha landed at the edge of the grid (5.0) -- the grid should be widened and re-checked before this is final.</w:t>
            </w:r>
          </w:p>
        </w:tc>
      </w:tr>
      <w:tr>
        <w:tc>
          <w:tcPr>
            <w:tcW w:type="dxa" w:w="2200"/>
            <w:tcMar>
              <w:top w:type="dxa" w:w="80"/>
              <w:left w:type="dxa" w:w="100"/>
              <w:bottom w:type="dxa" w:w="80"/>
              <w:right w:type="dxa" w:w="100"/>
            </w:tcMar>
          </w:tcPr>
          <w:p>
            <w:pPr>
              <w:jc w:val="left"/>
            </w:pPr>
            <w:r>
              <w:rPr>
                <w:b w:val="false"/>
                <w:bCs w:val="false"/>
                <w:sz w:val="20"/>
                <w:szCs w:val="20"/>
              </w:rPr>
              <w:t xml:space="preserve">Double-count control</w:t>
            </w:r>
          </w:p>
        </w:tc>
        <w:tc>
          <w:tcPr>
            <w:tcW w:type="dxa" w:w="3800"/>
            <w:tcMar>
              <w:top w:type="dxa" w:w="80"/>
              <w:left w:type="dxa" w:w="100"/>
              <w:bottom w:type="dxa" w:w="80"/>
              <w:right w:type="dxa" w:w="100"/>
            </w:tcMar>
          </w:tcPr>
          <w:p>
            <w:pPr>
              <w:jc w:val="left"/>
            </w:pPr>
            <w:r>
              <w:rPr>
                <w:b w:val="false"/>
                <w:bCs w:val="false"/>
                <w:sz w:val="20"/>
                <w:szCs w:val="20"/>
              </w:rPr>
              <w:t xml:space="preserve">In GLM mode, the judgmental hazmat frequency load is switched off and the 'Intrastate' radius relativity is neutralised to 1.00.</w:t>
            </w:r>
          </w:p>
        </w:tc>
        <w:tc>
          <w:tcPr>
            <w:tcW w:type="dxa" w:w="4500"/>
            <w:tcMar>
              <w:top w:type="dxa" w:w="80"/>
              <w:left w:type="dxa" w:w="100"/>
              <w:bottom w:type="dxa" w:w="80"/>
              <w:right w:type="dxa" w:w="100"/>
            </w:tcMar>
          </w:tcPr>
          <w:p>
            <w:pPr>
              <w:jc w:val="left"/>
            </w:pPr>
            <w:r>
              <w:rPr>
                <w:b w:val="false"/>
                <w:bCs w:val="false"/>
                <w:sz w:val="20"/>
                <w:szCs w:val="20"/>
              </w:rPr>
              <w:t xml:space="preserve">The GLM fits hazmat and interstate/intrastate operation from history; the legacy judgmental table also loaded both. Applying both would charge the same signal twice. Long-haul and commodity relativities are retained -- no historical equivalent exists for either.</w:t>
            </w:r>
          </w:p>
        </w:tc>
      </w:tr>
      <w:tr>
        <w:tc>
          <w:tcPr>
            <w:tcW w:type="dxa" w:w="2200"/>
            <w:tcMar>
              <w:top w:type="dxa" w:w="80"/>
              <w:left w:type="dxa" w:w="100"/>
              <w:bottom w:type="dxa" w:w="80"/>
              <w:right w:type="dxa" w:w="100"/>
            </w:tcMar>
          </w:tcPr>
          <w:p>
            <w:pPr>
              <w:jc w:val="left"/>
            </w:pPr>
            <w:r>
              <w:rPr>
                <w:b w:val="false"/>
                <w:bCs w:val="false"/>
                <w:sz w:val="20"/>
                <w:szCs w:val="20"/>
              </w:rPr>
              <w:t xml:space="preserve">Credibility constant K</w:t>
            </w:r>
          </w:p>
        </w:tc>
        <w:tc>
          <w:tcPr>
            <w:tcW w:type="dxa" w:w="3800"/>
            <w:tcMar>
              <w:top w:type="dxa" w:w="80"/>
              <w:left w:type="dxa" w:w="100"/>
              <w:bottom w:type="dxa" w:w="80"/>
              <w:right w:type="dxa" w:w="100"/>
            </w:tcMar>
          </w:tcPr>
          <w:p>
            <w:pPr>
              <w:jc w:val="left"/>
            </w:pPr>
            <w:r>
              <w:rPr>
                <w:b w:val="false"/>
                <w:bCs w:val="false"/>
                <w:sz w:val="20"/>
                <w:szCs w:val="20"/>
              </w:rPr>
              <w:t xml:space="preserve">K = 10 unit-years (own-experience weight in the blend), separate from the legacy CREDIBILITY_WEIGHT (10 power units).</w:t>
            </w:r>
          </w:p>
        </w:tc>
        <w:tc>
          <w:tcPr>
            <w:tcW w:type="dxa" w:w="4500"/>
            <w:tcMar>
              <w:top w:type="dxa" w:w="80"/>
              <w:left w:type="dxa" w:w="100"/>
              <w:bottom w:type="dxa" w:w="80"/>
              <w:right w:type="dxa" w:w="100"/>
            </w:tcMar>
          </w:tcPr>
          <w:p>
            <w:pPr>
              <w:jc w:val="left"/>
            </w:pPr>
            <w:r>
              <w:rPr>
                <w:b w:val="false"/>
                <w:bCs w:val="false"/>
                <w:sz w:val="20"/>
                <w:szCs w:val="20"/>
              </w:rPr>
              <w:t xml:space="preserve">The two constants are not interchangeable -- one is in unit-years, the other in power units. At K=10, a 1-PU carrier with 3 years on risk gets Z ≈ 0.23. This is a prototype value, not a fitted one.</w:t>
            </w:r>
          </w:p>
        </w:tc>
      </w:tr>
      <w:tr>
        <w:tc>
          <w:tcPr>
            <w:tcW w:type="dxa" w:w="2200"/>
            <w:tcMar>
              <w:top w:type="dxa" w:w="80"/>
              <w:left w:type="dxa" w:w="100"/>
              <w:bottom w:type="dxa" w:w="80"/>
              <w:right w:type="dxa" w:w="100"/>
            </w:tcMar>
          </w:tcPr>
          <w:p>
            <w:pPr>
              <w:jc w:val="left"/>
            </w:pPr>
            <w:r>
              <w:rPr>
                <w:b w:val="false"/>
                <w:bCs w:val="false"/>
                <w:sz w:val="20"/>
                <w:szCs w:val="20"/>
              </w:rPr>
              <w:t xml:space="preserve">Credibility cap + rebalance</w:t>
            </w:r>
          </w:p>
        </w:tc>
        <w:tc>
          <w:tcPr>
            <w:tcW w:type="dxa" w:w="3800"/>
            <w:tcMar>
              <w:top w:type="dxa" w:w="80"/>
              <w:left w:type="dxa" w:w="100"/>
              <w:bottom w:type="dxa" w:w="80"/>
              <w:right w:type="dxa" w:w="100"/>
            </w:tcMar>
          </w:tcPr>
          <w:p>
            <w:pPr>
              <w:jc w:val="left"/>
            </w:pPr>
            <w:r>
              <w:rPr>
                <w:b w:val="false"/>
                <w:bCs w:val="false"/>
                <w:sz w:val="20"/>
                <w:szCs w:val="20"/>
              </w:rPr>
              <w:t xml:space="preserve">Blended frequency clamped to 0.5x–3.0x of the GLM expectation, then the whole book is rescaled by a single off-balance factor back to the observed portfolio frequency.</w:t>
            </w:r>
          </w:p>
        </w:tc>
        <w:tc>
          <w:tcPr>
            <w:tcW w:type="dxa" w:w="4500"/>
            <w:tcMar>
              <w:top w:type="dxa" w:w="80"/>
              <w:left w:type="dxa" w:w="100"/>
              <w:bottom w:type="dxa" w:w="80"/>
              <w:right w:type="dxa" w:w="100"/>
            </w:tcMar>
          </w:tcPr>
          <w:p>
            <w:pPr>
              <w:jc w:val="left"/>
            </w:pPr>
            <w:r>
              <w:rPr>
                <w:b w:val="false"/>
                <w:bCs w:val="false"/>
                <w:sz w:val="20"/>
                <w:szCs w:val="20"/>
              </w:rPr>
              <w:t xml:space="preserve">The cap alone is asymmetric (floors clean carriers, truncates crash carriers) and underpriced the book by ~33% in testing. The factor is computed, printed and saved every run rather than assumed to be 1.0.</w:t>
            </w:r>
          </w:p>
        </w:tc>
      </w:tr>
      <w:tr>
        <w:tc>
          <w:tcPr>
            <w:tcW w:type="dxa" w:w="2200"/>
            <w:tcMar>
              <w:top w:type="dxa" w:w="80"/>
              <w:left w:type="dxa" w:w="100"/>
              <w:bottom w:type="dxa" w:w="80"/>
              <w:right w:type="dxa" w:w="100"/>
            </w:tcMar>
          </w:tcPr>
          <w:p>
            <w:pPr>
              <w:jc w:val="left"/>
            </w:pPr>
            <w:r>
              <w:rPr>
                <w:b w:val="false"/>
                <w:bCs w:val="false"/>
                <w:sz w:val="20"/>
                <w:szCs w:val="20"/>
              </w:rPr>
              <w:t xml:space="preserve">Data-quality cap</w:t>
            </w:r>
          </w:p>
        </w:tc>
        <w:tc>
          <w:tcPr>
            <w:tcW w:type="dxa" w:w="3800"/>
            <w:tcMar>
              <w:top w:type="dxa" w:w="80"/>
              <w:left w:type="dxa" w:w="100"/>
              <w:bottom w:type="dxa" w:w="80"/>
              <w:right w:type="dxa" w:w="100"/>
            </w:tcMar>
          </w:tcPr>
          <w:p>
            <w:pPr>
              <w:jc w:val="left"/>
            </w:pPr>
            <w:r>
              <w:rPr>
                <w:b w:val="false"/>
                <w:bCs w:val="false"/>
                <w:sz w:val="20"/>
                <w:szCs w:val="20"/>
              </w:rPr>
              <w:t xml:space="preserve">Carriers with &gt; MAX_PLAUSIBLE_CRASHES_3YR (50) crashes in the window are dropped from calibration.</w:t>
            </w:r>
          </w:p>
        </w:tc>
        <w:tc>
          <w:tcPr>
            <w:tcW w:type="dxa" w:w="4500"/>
            <w:tcMar>
              <w:top w:type="dxa" w:w="80"/>
              <w:left w:type="dxa" w:w="100"/>
              <w:bottom w:type="dxa" w:w="80"/>
              <w:right w:type="dxa" w:w="100"/>
            </w:tcMar>
          </w:tcPr>
          <w:p>
            <w:pPr>
              <w:jc w:val="left"/>
            </w:pPr>
            <w:r>
              <w:rPr>
                <w:b w:val="false"/>
                <w:bCs w:val="false"/>
                <w:sz w:val="20"/>
                <w:szCs w:val="20"/>
              </w:rPr>
              <w:t xml:space="preserve">Protects the fit from a small number of clearly bad records; loose enough that it did not catch one high-crash 1-PU outlier on the real pull -- recommended tightening to a per-unit-year rate cap, not just a raw count cap.</w:t>
            </w:r>
          </w:p>
        </w:tc>
      </w:tr>
      <w:tr>
        <w:tc>
          <w:tcPr>
            <w:tcW w:type="dxa" w:w="2200"/>
            <w:tcMar>
              <w:top w:type="dxa" w:w="80"/>
              <w:left w:type="dxa" w:w="100"/>
              <w:bottom w:type="dxa" w:w="80"/>
              <w:right w:type="dxa" w:w="100"/>
            </w:tcMar>
          </w:tcPr>
          <w:p>
            <w:pPr>
              <w:jc w:val="left"/>
            </w:pPr>
            <w:r>
              <w:rPr>
                <w:b w:val="false"/>
                <w:bCs w:val="false"/>
                <w:sz w:val="20"/>
                <w:szCs w:val="20"/>
              </w:rPr>
              <w:t xml:space="preserve">Radius / commodity</w:t>
            </w:r>
          </w:p>
        </w:tc>
        <w:tc>
          <w:tcPr>
            <w:tcW w:type="dxa" w:w="3800"/>
            <w:tcMar>
              <w:top w:type="dxa" w:w="80"/>
              <w:left w:type="dxa" w:w="100"/>
              <w:bottom w:type="dxa" w:w="80"/>
              <w:right w:type="dxa" w:w="100"/>
            </w:tcMar>
          </w:tcPr>
          <w:p>
            <w:pPr>
              <w:jc w:val="left"/>
            </w:pPr>
            <w:r>
              <w:rPr>
                <w:b w:val="false"/>
                <w:bCs w:val="false"/>
                <w:sz w:val="20"/>
                <w:szCs w:val="20"/>
              </w:rPr>
              <w:t xml:space="preserve">Not fitted by the GLM. Retained as the original judgmental relativity table, explicitly labelled as judgment.</w:t>
            </w:r>
          </w:p>
        </w:tc>
        <w:tc>
          <w:tcPr>
            <w:tcW w:type="dxa" w:w="4500"/>
            <w:tcMar>
              <w:top w:type="dxa" w:w="80"/>
              <w:left w:type="dxa" w:w="100"/>
              <w:bottom w:type="dxa" w:w="80"/>
              <w:right w:type="dxa" w:w="100"/>
            </w:tcMar>
          </w:tcPr>
          <w:p>
            <w:pPr>
              <w:jc w:val="left"/>
            </w:pPr>
            <w:r>
              <w:rPr>
                <w:b w:val="false"/>
                <w:bCs w:val="false"/>
                <w:sz w:val="20"/>
                <w:szCs w:val="20"/>
              </w:rPr>
              <w:t xml:space="preserve">No historical equivalent existed in the fields pulled. NOTE: the Census schema does contain historical interstate/intrastate-by-mileage-band fields (see §6, Next Steps) that were not wired in for this submission -- radius could move from judgment to fitted in a future iteration.</w:t>
            </w:r>
          </w:p>
        </w:tc>
      </w:tr>
      <w:tr>
        <w:tc>
          <w:tcPr>
            <w:tcW w:type="dxa" w:w="2200"/>
            <w:tcMar>
              <w:top w:type="dxa" w:w="80"/>
              <w:left w:type="dxa" w:w="100"/>
              <w:bottom w:type="dxa" w:w="80"/>
              <w:right w:type="dxa" w:w="100"/>
            </w:tcMar>
          </w:tcPr>
          <w:p>
            <w:pPr>
              <w:jc w:val="left"/>
            </w:pPr>
            <w:r>
              <w:rPr>
                <w:b w:val="false"/>
                <w:bCs w:val="false"/>
                <w:sz w:val="20"/>
                <w:szCs w:val="20"/>
              </w:rPr>
              <w:t xml:space="preserve">Severity</w:t>
            </w:r>
          </w:p>
        </w:tc>
        <w:tc>
          <w:tcPr>
            <w:tcW w:type="dxa" w:w="3800"/>
            <w:tcMar>
              <w:top w:type="dxa" w:w="80"/>
              <w:left w:type="dxa" w:w="100"/>
              <w:bottom w:type="dxa" w:w="80"/>
              <w:right w:type="dxa" w:w="100"/>
            </w:tcMar>
          </w:tcPr>
          <w:p>
            <w:pPr>
              <w:jc w:val="left"/>
            </w:pPr>
            <w:r>
              <w:rPr>
                <w:b w:val="false"/>
                <w:bCs w:val="false"/>
                <w:sz w:val="20"/>
                <w:szCs w:val="20"/>
              </w:rPr>
              <w:t xml:space="preserve">Left entirely as the original flagged placeholder (BASE_SEVERITY_DOLLARS). Not touched by this work.</w:t>
            </w:r>
          </w:p>
        </w:tc>
        <w:tc>
          <w:tcPr>
            <w:tcW w:type="dxa" w:w="4500"/>
            <w:tcMar>
              <w:top w:type="dxa" w:w="80"/>
              <w:left w:type="dxa" w:w="100"/>
              <w:bottom w:type="dxa" w:w="80"/>
              <w:right w:type="dxa" w:w="100"/>
            </w:tcMar>
          </w:tcPr>
          <w:p>
            <w:pPr>
              <w:jc w:val="left"/>
            </w:pPr>
            <w:r>
              <w:rPr>
                <w:b w:val="false"/>
                <w:bCs w:val="false"/>
                <w:sz w:val="20"/>
                <w:szCs w:val="20"/>
              </w:rPr>
              <w:t xml:space="preserve">Out of scope for the frequency work, but it is now the largest source of absolute-level pricing error once frequency segmentation is credible -- flagged as the top follow-up.</w:t>
            </w:r>
          </w:p>
        </w:tc>
      </w:tr>
    </w:tbl>
    <w:p>
      <w:pPr>
        <w:pStyle w:val="Heading1"/>
        <w:spacing w:after="160" w:before="320"/>
      </w:pPr>
      <w:r>
        <w:t xml:space="preserve">4. Notebook Compression — Equivalence Check</w:t>
      </w:r>
    </w:p>
    <w:p>
      <w:pPr>
        <w:spacing w:after="140" w:line="276"/>
      </w:pPr>
      <w:r>
        <w:t xml:space="preserve">For the final submission, infrastructure code (Socrata API retry/fallback logic, the NumPy IRLS GLM-fitting fallback, the legacy frequency formula) was moved out of the notebook into a small lib/ package, so the notebook reads as the method rather than as error-handling plumbing. This was a pure relocation — the same code, the same call signatures — not a rewrite.</w:t>
      </w:r>
    </w:p>
    <w:p>
      <w:pPr>
        <w:spacing w:after="140" w:line="276"/>
      </w:pPr>
      <w:r>
        <w:t xml:space="preserve">To confirm no behavior changed, the same synthetic dataset was run through the notebook immediately before and immediately after the extraction, and every figure that depends on the moved code was compared: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650"/>
        <w:gridCol w:w="2650"/>
      </w:tblGrid>
      <w:tr>
        <w:trPr>
          <w:tblHeader/>
        </w:trPr>
        <w:tc>
          <w:tcPr>
            <w:tcW w:type="dxa" w:w="4200"/>
            <w:shd w:fill="1F3A5F" w:val="clear"/>
            <w:tcMar>
              <w:top w:type="dxa" w:w="80"/>
              <w:left w:type="dxa" w:w="100"/>
              <w:bottom w:type="dxa" w:w="80"/>
              <w:right w:type="dxa" w:w="100"/>
            </w:tcMar>
          </w:tcPr>
          <w:p>
            <w:pPr>
              <w:jc w:val="left"/>
            </w:pPr>
            <w:r>
              <w:rPr>
                <w:b/>
                <w:bCs/>
                <w:color w:val="FFFFFF"/>
                <w:sz w:val="20"/>
                <w:szCs w:val="20"/>
              </w:rPr>
              <w:t xml:space="preserve">Quantity checked</w:t>
            </w:r>
          </w:p>
        </w:tc>
        <w:tc>
          <w:tcPr>
            <w:tcW w:type="dxa" w:w="2650"/>
            <w:shd w:fill="1F3A5F" w:val="clear"/>
            <w:tcMar>
              <w:top w:type="dxa" w:w="80"/>
              <w:left w:type="dxa" w:w="100"/>
              <w:bottom w:type="dxa" w:w="80"/>
              <w:right w:type="dxa" w:w="100"/>
            </w:tcMar>
          </w:tcPr>
          <w:p>
            <w:pPr>
              <w:jc w:val="left"/>
            </w:pPr>
            <w:r>
              <w:rPr>
                <w:b/>
                <w:bCs/>
                <w:color w:val="FFFFFF"/>
                <w:sz w:val="20"/>
                <w:szCs w:val="20"/>
              </w:rPr>
              <w:t xml:space="preserve">Before extraction</w:t>
            </w:r>
          </w:p>
        </w:tc>
        <w:tc>
          <w:tcPr>
            <w:tcW w:type="dxa" w:w="2650"/>
            <w:shd w:fill="1F3A5F" w:val="clear"/>
            <w:tcMar>
              <w:top w:type="dxa" w:w="80"/>
              <w:left w:type="dxa" w:w="100"/>
              <w:bottom w:type="dxa" w:w="80"/>
              <w:right w:type="dxa" w:w="100"/>
            </w:tcMar>
          </w:tcPr>
          <w:p>
            <w:pPr>
              <w:jc w:val="left"/>
            </w:pPr>
            <w:r>
              <w:rPr>
                <w:b/>
                <w:bCs/>
                <w:color w:val="FFFFFF"/>
                <w:sz w:val="20"/>
                <w:szCs w:val="20"/>
              </w:rPr>
              <w:t xml:space="preserve">After extraction</w:t>
            </w:r>
          </w:p>
        </w:tc>
      </w:tr>
      <w:tr>
        <w:tc>
          <w:tcPr>
            <w:tcW w:type="dxa" w:w="4200"/>
            <w:tcMar>
              <w:top w:type="dxa" w:w="80"/>
              <w:left w:type="dxa" w:w="100"/>
              <w:bottom w:type="dxa" w:w="80"/>
              <w:right w:type="dxa" w:w="100"/>
            </w:tcMar>
          </w:tcPr>
          <w:p>
            <w:pPr>
              <w:jc w:val="left"/>
            </w:pPr>
            <w:r>
              <w:rPr>
                <w:b w:val="false"/>
                <w:bCs w:val="false"/>
                <w:sz w:val="20"/>
                <w:szCs w:val="20"/>
              </w:rPr>
              <w:t xml:space="preserve">portfolio_frequency</w:t>
            </w:r>
          </w:p>
        </w:tc>
        <w:tc>
          <w:tcPr>
            <w:tcW w:type="dxa" w:w="2650"/>
            <w:tcMar>
              <w:top w:type="dxa" w:w="80"/>
              <w:left w:type="dxa" w:w="100"/>
              <w:bottom w:type="dxa" w:w="80"/>
              <w:right w:type="dxa" w:w="100"/>
            </w:tcMar>
          </w:tcPr>
          <w:p>
            <w:pPr>
              <w:jc w:val="left"/>
            </w:pPr>
            <w:r>
              <w:rPr>
                <w:b w:val="false"/>
                <w:bCs w:val="false"/>
                <w:sz w:val="20"/>
                <w:szCs w:val="20"/>
              </w:rPr>
              <w:t xml:space="preserve">0.13080084</w:t>
            </w:r>
          </w:p>
        </w:tc>
        <w:tc>
          <w:tcPr>
            <w:tcW w:type="dxa" w:w="2650"/>
            <w:tcMar>
              <w:top w:type="dxa" w:w="80"/>
              <w:left w:type="dxa" w:w="100"/>
              <w:bottom w:type="dxa" w:w="80"/>
              <w:right w:type="dxa" w:w="100"/>
            </w:tcMar>
          </w:tcPr>
          <w:p>
            <w:pPr>
              <w:jc w:val="left"/>
            </w:pPr>
            <w:r>
              <w:rPr>
                <w:b w:val="false"/>
                <w:bCs w:val="false"/>
                <w:sz w:val="20"/>
                <w:szCs w:val="20"/>
              </w:rPr>
              <w:t xml:space="preserve">0.13080084</w:t>
            </w:r>
          </w:p>
        </w:tc>
      </w:tr>
      <w:tr>
        <w:tc>
          <w:tcPr>
            <w:tcW w:type="dxa" w:w="4200"/>
            <w:tcMar>
              <w:top w:type="dxa" w:w="80"/>
              <w:left w:type="dxa" w:w="100"/>
              <w:bottom w:type="dxa" w:w="80"/>
              <w:right w:type="dxa" w:w="100"/>
            </w:tcMar>
          </w:tcPr>
          <w:p>
            <w:pPr>
              <w:jc w:val="left"/>
            </w:pPr>
            <w:r>
              <w:rPr>
                <w:b w:val="false"/>
                <w:bCs w:val="false"/>
                <w:sz w:val="20"/>
                <w:szCs w:val="20"/>
              </w:rPr>
              <w:t xml:space="preserve">Selected model AIC</w:t>
            </w:r>
          </w:p>
        </w:tc>
        <w:tc>
          <w:tcPr>
            <w:tcW w:type="dxa" w:w="2650"/>
            <w:tcMar>
              <w:top w:type="dxa" w:w="80"/>
              <w:left w:type="dxa" w:w="100"/>
              <w:bottom w:type="dxa" w:w="80"/>
              <w:right w:type="dxa" w:w="100"/>
            </w:tcMar>
          </w:tcPr>
          <w:p>
            <w:pPr>
              <w:jc w:val="left"/>
            </w:pPr>
            <w:r>
              <w:rPr>
                <w:b w:val="false"/>
                <w:bCs w:val="false"/>
                <w:sz w:val="20"/>
                <w:szCs w:val="20"/>
              </w:rPr>
              <w:t xml:space="preserve">15,398.022</w:t>
            </w:r>
          </w:p>
        </w:tc>
        <w:tc>
          <w:tcPr>
            <w:tcW w:type="dxa" w:w="2650"/>
            <w:tcMar>
              <w:top w:type="dxa" w:w="80"/>
              <w:left w:type="dxa" w:w="100"/>
              <w:bottom w:type="dxa" w:w="80"/>
              <w:right w:type="dxa" w:w="100"/>
            </w:tcMar>
          </w:tcPr>
          <w:p>
            <w:pPr>
              <w:jc w:val="left"/>
            </w:pPr>
            <w:r>
              <w:rPr>
                <w:b w:val="false"/>
                <w:bCs w:val="false"/>
                <w:sz w:val="20"/>
                <w:szCs w:val="20"/>
              </w:rPr>
              <w:t xml:space="preserve">15,398.022</w:t>
            </w:r>
          </w:p>
        </w:tc>
      </w:tr>
      <w:tr>
        <w:tc>
          <w:tcPr>
            <w:tcW w:type="dxa" w:w="4200"/>
            <w:tcMar>
              <w:top w:type="dxa" w:w="80"/>
              <w:left w:type="dxa" w:w="100"/>
              <w:bottom w:type="dxa" w:w="80"/>
              <w:right w:type="dxa" w:w="100"/>
            </w:tcMar>
          </w:tcPr>
          <w:p>
            <w:pPr>
              <w:jc w:val="left"/>
            </w:pPr>
            <w:r>
              <w:rPr>
                <w:b w:val="false"/>
                <w:bCs w:val="false"/>
                <w:sz w:val="20"/>
                <w:szCs w:val="20"/>
              </w:rPr>
              <w:t xml:space="preserve">Selected model log-likelihood</w:t>
            </w:r>
          </w:p>
        </w:tc>
        <w:tc>
          <w:tcPr>
            <w:tcW w:type="dxa" w:w="2650"/>
            <w:tcMar>
              <w:top w:type="dxa" w:w="80"/>
              <w:left w:type="dxa" w:w="100"/>
              <w:bottom w:type="dxa" w:w="80"/>
              <w:right w:type="dxa" w:w="100"/>
            </w:tcMar>
          </w:tcPr>
          <w:p>
            <w:pPr>
              <w:jc w:val="left"/>
            </w:pPr>
            <w:r>
              <w:rPr>
                <w:b w:val="false"/>
                <w:bCs w:val="false"/>
                <w:sz w:val="20"/>
                <w:szCs w:val="20"/>
              </w:rPr>
              <w:t xml:space="preserve">−7,689.011</w:t>
            </w:r>
          </w:p>
        </w:tc>
        <w:tc>
          <w:tcPr>
            <w:tcW w:type="dxa" w:w="2650"/>
            <w:tcMar>
              <w:top w:type="dxa" w:w="80"/>
              <w:left w:type="dxa" w:w="100"/>
              <w:bottom w:type="dxa" w:w="80"/>
              <w:right w:type="dxa" w:w="100"/>
            </w:tcMar>
          </w:tcPr>
          <w:p>
            <w:pPr>
              <w:jc w:val="left"/>
            </w:pPr>
            <w:r>
              <w:rPr>
                <w:b w:val="false"/>
                <w:bCs w:val="false"/>
                <w:sz w:val="20"/>
                <w:szCs w:val="20"/>
              </w:rPr>
              <w:t xml:space="preserve">−7,689.011</w:t>
            </w:r>
          </w:p>
        </w:tc>
      </w:tr>
      <w:tr>
        <w:tc>
          <w:tcPr>
            <w:tcW w:type="dxa" w:w="4200"/>
            <w:tcMar>
              <w:top w:type="dxa" w:w="80"/>
              <w:left w:type="dxa" w:w="100"/>
              <w:bottom w:type="dxa" w:w="80"/>
              <w:right w:type="dxa" w:w="100"/>
            </w:tcMar>
          </w:tcPr>
          <w:p>
            <w:pPr>
              <w:jc w:val="left"/>
            </w:pPr>
            <w:r>
              <w:rPr>
                <w:b w:val="false"/>
                <w:bCs w:val="false"/>
                <w:sz w:val="20"/>
                <w:szCs w:val="20"/>
              </w:rPr>
              <w:t xml:space="preserve">All 9 fitted coefficients (Intercept, log_fleet_size, drivers_per_unit_centred, hazmat_flag, 4 age bands, 2 operation levels)</w:t>
            </w:r>
          </w:p>
        </w:tc>
        <w:tc>
          <w:tcPr>
            <w:tcW w:type="dxa" w:w="2650"/>
            <w:tcMar>
              <w:top w:type="dxa" w:w="80"/>
              <w:left w:type="dxa" w:w="100"/>
              <w:bottom w:type="dxa" w:w="80"/>
              <w:right w:type="dxa" w:w="100"/>
            </w:tcMar>
          </w:tcPr>
          <w:p>
            <w:pPr>
              <w:jc w:val="left"/>
            </w:pPr>
            <w:r>
              <w:rPr>
                <w:b w:val="false"/>
                <w:bCs w:val="false"/>
                <w:sz w:val="20"/>
                <w:szCs w:val="20"/>
              </w:rPr>
              <w:t xml:space="preserve">match to 8 decimal places</w:t>
            </w:r>
          </w:p>
        </w:tc>
        <w:tc>
          <w:tcPr>
            <w:tcW w:type="dxa" w:w="2650"/>
            <w:tcMar>
              <w:top w:type="dxa" w:w="80"/>
              <w:left w:type="dxa" w:w="100"/>
              <w:bottom w:type="dxa" w:w="80"/>
              <w:right w:type="dxa" w:w="100"/>
            </w:tcMar>
          </w:tcPr>
          <w:p>
            <w:pPr>
              <w:jc w:val="left"/>
            </w:pPr>
            <w:r>
              <w:rPr>
                <w:b w:val="false"/>
                <w:bCs w:val="false"/>
                <w:sz w:val="20"/>
                <w:szCs w:val="20"/>
              </w:rPr>
              <w:t xml:space="preserve">match to 8 decimal places</w:t>
            </w:r>
          </w:p>
        </w:tc>
      </w:tr>
      <w:tr>
        <w:tc>
          <w:tcPr>
            <w:tcW w:type="dxa" w:w="4200"/>
            <w:tcMar>
              <w:top w:type="dxa" w:w="80"/>
              <w:left w:type="dxa" w:w="100"/>
              <w:bottom w:type="dxa" w:w="80"/>
              <w:right w:type="dxa" w:w="100"/>
            </w:tcMar>
          </w:tcPr>
          <w:p>
            <w:pPr>
              <w:jc w:val="left"/>
            </w:pPr>
            <w:r>
              <w:rPr>
                <w:b w:val="false"/>
                <w:bCs w:val="false"/>
                <w:sz w:val="20"/>
                <w:szCs w:val="20"/>
              </w:rPr>
              <w:t xml:space="preserve">Exposure-weighted blended annual frequency</w:t>
            </w:r>
          </w:p>
        </w:tc>
        <w:tc>
          <w:tcPr>
            <w:tcW w:type="dxa" w:w="2650"/>
            <w:tcMar>
              <w:top w:type="dxa" w:w="80"/>
              <w:left w:type="dxa" w:w="100"/>
              <w:bottom w:type="dxa" w:w="80"/>
              <w:right w:type="dxa" w:w="100"/>
            </w:tcMar>
          </w:tcPr>
          <w:p>
            <w:pPr>
              <w:jc w:val="left"/>
            </w:pPr>
            <w:r>
              <w:rPr>
                <w:b w:val="false"/>
                <w:bCs w:val="false"/>
                <w:sz w:val="20"/>
                <w:szCs w:val="20"/>
              </w:rPr>
              <w:t xml:space="preserve">0.04649494</w:t>
            </w:r>
          </w:p>
        </w:tc>
        <w:tc>
          <w:tcPr>
            <w:tcW w:type="dxa" w:w="2650"/>
            <w:tcMar>
              <w:top w:type="dxa" w:w="80"/>
              <w:left w:type="dxa" w:w="100"/>
              <w:bottom w:type="dxa" w:w="80"/>
              <w:right w:type="dxa" w:w="100"/>
            </w:tcMar>
          </w:tcPr>
          <w:p>
            <w:pPr>
              <w:jc w:val="left"/>
            </w:pPr>
            <w:r>
              <w:rPr>
                <w:b w:val="false"/>
                <w:bCs w:val="false"/>
                <w:sz w:val="20"/>
                <w:szCs w:val="20"/>
              </w:rPr>
              <w:t xml:space="preserve">0.04649494</w:t>
            </w:r>
          </w:p>
        </w:tc>
      </w:tr>
      <w:tr>
        <w:tc>
          <w:tcPr>
            <w:tcW w:type="dxa" w:w="4200"/>
            <w:tcMar>
              <w:top w:type="dxa" w:w="80"/>
              <w:left w:type="dxa" w:w="100"/>
              <w:bottom w:type="dxa" w:w="80"/>
              <w:right w:type="dxa" w:w="100"/>
            </w:tcMar>
          </w:tcPr>
          <w:p>
            <w:pPr>
              <w:jc w:val="left"/>
            </w:pPr>
            <w:r>
              <w:rPr>
                <w:b w:val="false"/>
                <w:bCs w:val="false"/>
                <w:sz w:val="20"/>
                <w:szCs w:val="20"/>
              </w:rPr>
              <w:t xml:space="preserve">Blend off-balance factor</w:t>
            </w:r>
          </w:p>
        </w:tc>
        <w:tc>
          <w:tcPr>
            <w:tcW w:type="dxa" w:w="2650"/>
            <w:tcMar>
              <w:top w:type="dxa" w:w="80"/>
              <w:left w:type="dxa" w:w="100"/>
              <w:bottom w:type="dxa" w:w="80"/>
              <w:right w:type="dxa" w:w="100"/>
            </w:tcMar>
          </w:tcPr>
          <w:p>
            <w:pPr>
              <w:jc w:val="left"/>
            </w:pPr>
            <w:r>
              <w:rPr>
                <w:b w:val="false"/>
                <w:bCs w:val="false"/>
                <w:sz w:val="20"/>
                <w:szCs w:val="20"/>
              </w:rPr>
              <w:t xml:space="preserve">1.01091268</w:t>
            </w:r>
          </w:p>
        </w:tc>
        <w:tc>
          <w:tcPr>
            <w:tcW w:type="dxa" w:w="2650"/>
            <w:tcMar>
              <w:top w:type="dxa" w:w="80"/>
              <w:left w:type="dxa" w:w="100"/>
              <w:bottom w:type="dxa" w:w="80"/>
              <w:right w:type="dxa" w:w="100"/>
            </w:tcMar>
          </w:tcPr>
          <w:p>
            <w:pPr>
              <w:jc w:val="left"/>
            </w:pPr>
            <w:r>
              <w:rPr>
                <w:b w:val="false"/>
                <w:bCs w:val="false"/>
                <w:sz w:val="20"/>
                <w:szCs w:val="20"/>
              </w:rPr>
              <w:t xml:space="preserve">1.01091268</w:t>
            </w:r>
          </w:p>
        </w:tc>
      </w:tr>
      <w:tr>
        <w:tc>
          <w:tcPr>
            <w:tcW w:type="dxa" w:w="4200"/>
            <w:tcMar>
              <w:top w:type="dxa" w:w="80"/>
              <w:left w:type="dxa" w:w="100"/>
              <w:bottom w:type="dxa" w:w="80"/>
              <w:right w:type="dxa" w:w="100"/>
            </w:tcMar>
          </w:tcPr>
          <w:p>
            <w:pPr>
              <w:jc w:val="left"/>
            </w:pPr>
            <w:r>
              <w:rPr>
                <w:b w:val="false"/>
                <w:bCs w:val="false"/>
                <w:sz w:val="20"/>
                <w:szCs w:val="20"/>
              </w:rPr>
              <w:t xml:space="preserve">Legacy annual frequency (exposure-weighted)</w:t>
            </w:r>
          </w:p>
        </w:tc>
        <w:tc>
          <w:tcPr>
            <w:tcW w:type="dxa" w:w="2650"/>
            <w:tcMar>
              <w:top w:type="dxa" w:w="80"/>
              <w:left w:type="dxa" w:w="100"/>
              <w:bottom w:type="dxa" w:w="80"/>
              <w:right w:type="dxa" w:w="100"/>
            </w:tcMar>
          </w:tcPr>
          <w:p>
            <w:pPr>
              <w:jc w:val="left"/>
            </w:pPr>
            <w:r>
              <w:rPr>
                <w:b w:val="false"/>
                <w:bCs w:val="false"/>
                <w:sz w:val="20"/>
                <w:szCs w:val="20"/>
              </w:rPr>
              <w:t xml:space="preserve">0.04339595</w:t>
            </w:r>
          </w:p>
        </w:tc>
        <w:tc>
          <w:tcPr>
            <w:tcW w:type="dxa" w:w="2650"/>
            <w:tcMar>
              <w:top w:type="dxa" w:w="80"/>
              <w:left w:type="dxa" w:w="100"/>
              <w:bottom w:type="dxa" w:w="80"/>
              <w:right w:type="dxa" w:w="100"/>
            </w:tcMar>
          </w:tcPr>
          <w:p>
            <w:pPr>
              <w:jc w:val="left"/>
            </w:pPr>
            <w:r>
              <w:rPr>
                <w:b w:val="false"/>
                <w:bCs w:val="false"/>
                <w:sz w:val="20"/>
                <w:szCs w:val="20"/>
              </w:rPr>
              <w:t xml:space="preserve">0.04339595</w:t>
            </w:r>
          </w:p>
        </w:tc>
      </w:tr>
    </w:tbl>
    <w:p>
      <w:pPr>
        <w:spacing w:after="140" w:line="276"/>
      </w:pPr>
      <w:r>
        <w:rPr>
          <w:i/>
          <w:iCs/>
          <w:color w:val="595959"/>
        </w:rPr>
        <w:t xml:space="preserve">All values matched to at least 8 decimal places. The two most-affected cells shrank substantially in the process: census retrieval (Step 6) from 6,817 to 3,369 characters, and the GLM fitting engine (Step 17B) from 8,019 to 3,710 characters.</w:t>
      </w:r>
    </w:p>
    <w:p>
      <w:pPr>
        <w:pStyle w:val="Heading1"/>
        <w:spacing w:after="160" w:before="320"/>
      </w:pPr>
      <w:r>
        <w:t xml:space="preserve">5. Repository Structure</w:t>
      </w:r>
    </w:p>
    <w:p>
      <w:pPr>
        <w:shd w:fill="F2F2F2" w:val="clear"/>
        <w:spacing w:after="140"/>
      </w:pPr>
      <w:r>
        <w:rPr>
          <w:rFonts w:ascii="Consolas" w:cs="Consolas" w:eastAsia="Consolas" w:hAnsi="Consolas"/>
          <w:sz w:val="19"/>
          <w:szCs w:val="19"/>
        </w:rPr>
        <w:t xml:space="preserve">Corgi_TruckRater_Final_Version.ipynb   &lt;- narrative notebook (setup, model, rating, book check)</w:t>
      </w:r>
    </w:p>
    <w:p>
      <w:pPr>
        <w:shd w:fill="F2F2F2" w:val="clear"/>
        <w:spacing w:after="140"/>
      </w:pPr>
      <w:r>
        <w:rPr>
          <w:rFonts w:ascii="Consolas" w:cs="Consolas" w:eastAsia="Consolas" w:hAnsi="Consolas"/>
          <w:sz w:val="19"/>
          <w:szCs w:val="19"/>
        </w:rPr>
        <w:t xml:space="preserve">lib/</w:t>
      </w:r>
    </w:p>
    <w:p>
      <w:pPr>
        <w:shd w:fill="F2F2F2" w:val="clear"/>
        <w:spacing w:after="140"/>
      </w:pPr>
      <w:r>
        <w:rPr>
          <w:rFonts w:ascii="Consolas" w:cs="Consolas" w:eastAsia="Consolas" w:hAnsi="Consolas"/>
          <w:sz w:val="19"/>
          <w:szCs w:val="19"/>
        </w:rPr>
        <w:t xml:space="preserve">  socrata_api.py       generic Socrata/data.gov API helpers</w:t>
      </w:r>
    </w:p>
    <w:p>
      <w:pPr>
        <w:shd w:fill="F2F2F2" w:val="clear"/>
        <w:spacing w:after="140"/>
      </w:pPr>
      <w:r>
        <w:rPr>
          <w:rFonts w:ascii="Consolas" w:cs="Consolas" w:eastAsia="Consolas" w:hAnsi="Consolas"/>
          <w:sz w:val="19"/>
          <w:szCs w:val="19"/>
        </w:rPr>
        <w:t xml:space="preserve">  glm_engine.py         Poisson/Negative-Binomial GLM fitting engine</w:t>
      </w:r>
    </w:p>
    <w:p>
      <w:pPr>
        <w:shd w:fill="F2F2F2" w:val="clear"/>
        <w:spacing w:after="140"/>
      </w:pPr>
      <w:r>
        <w:rPr>
          <w:rFonts w:ascii="Consolas" w:cs="Consolas" w:eastAsia="Consolas" w:hAnsi="Consolas"/>
          <w:sz w:val="19"/>
          <w:szCs w:val="19"/>
        </w:rPr>
        <w:t xml:space="preserve">  legacy_frequency.py    retained portfolio-credibility frequency factor</w:t>
      </w:r>
    </w:p>
    <w:p>
      <w:pPr>
        <w:shd w:fill="F2F2F2" w:val="clear"/>
        <w:spacing w:after="140"/>
      </w:pPr>
      <w:r>
        <w:rPr>
          <w:rFonts w:ascii="Consolas" w:cs="Consolas" w:eastAsia="Consolas" w:hAnsi="Consolas"/>
          <w:sz w:val="19"/>
          <w:szCs w:val="19"/>
        </w:rPr>
        <w:t xml:space="preserve">Audit_Trail.docx        this document</w:t>
      </w:r>
    </w:p>
    <w:p>
      <w:pPr>
        <w:spacing w:after="140" w:line="276"/>
      </w:pPr>
      <w:r>
        <w:t xml:space="preserve">lib/ must sit in the same folder as the notebook — Jupyter's default working directory is the notebook's own folder, so the imports resolve without any path setup.</w:t>
      </w:r>
    </w:p>
    <w:p>
      <w:pPr>
        <w:pStyle w:val="Heading1"/>
        <w:spacing w:after="160" w:before="320"/>
      </w:pPr>
      <w:r>
        <w:t xml:space="preserve">6. Known Limitations (carried into the final submission)</w:t>
      </w:r>
    </w:p>
    <w:p>
      <w:pPr>
        <w:pStyle w:val="ListParagraph"/>
        <w:numPr>
          <w:ilvl w:val="0"/>
          <w:numId w:val="2"/>
        </w:numPr>
        <w:spacing w:after="80" w:line="264"/>
      </w:pPr>
      <w:r>
        <w:t xml:space="preserve">Crashes ≠ claims. FMCSA records DOT-recordable crashes regardless of fault or whether a liability claim followed; the model's frequency is a crash frequency with an implicit claims-per-crash of 1.0 folded into severity.</w:t>
      </w:r>
    </w:p>
    <w:p>
      <w:pPr>
        <w:pStyle w:val="ListParagraph"/>
        <w:numPr>
          <w:ilvl w:val="0"/>
          <w:numId w:val="2"/>
        </w:numPr>
        <w:spacing w:after="80" w:line="264"/>
      </w:pPr>
      <w:r>
        <w:t xml:space="preserve">Severity (BASE_SEVERITY_DOLLARS) is still an unanchored placeholder — the single highest-value follow-up now that frequency segmentation is credible.</w:t>
      </w:r>
    </w:p>
    <w:p>
      <w:pPr>
        <w:pStyle w:val="ListParagraph"/>
        <w:numPr>
          <w:ilvl w:val="0"/>
          <w:numId w:val="2"/>
        </w:numPr>
        <w:spacing w:after="80" w:line="264"/>
      </w:pPr>
      <w:r>
        <w:t xml:space="preserve">Radius and commodity remain judgmental. The Census schema does contain historical mileage-band fields (interstate/intrastate, within/beyond 100 miles) that were not pulled in for this submission and could move radius from judgment to fitted.</w:t>
      </w:r>
    </w:p>
    <w:p>
      <w:pPr>
        <w:pStyle w:val="ListParagraph"/>
        <w:numPr>
          <w:ilvl w:val="0"/>
          <w:numId w:val="2"/>
        </w:numPr>
        <w:spacing w:after="80" w:line="264"/>
      </w:pPr>
      <w:r>
        <w:t xml:space="preserve">Underwriting decline rules key off observed crash history, not modelled frequency, so the GLM changes price but not accept/refer/decline by design — whether a GLM-based referral trigger belongs in the rules is an open question for the walkthrough, not an oversight.</w:t>
      </w:r>
    </w:p>
    <w:p>
      <w:pPr>
        <w:pStyle w:val="ListParagraph"/>
        <w:numPr>
          <w:ilvl w:val="0"/>
          <w:numId w:val="2"/>
        </w:numPr>
        <w:spacing w:after="80" w:line="264"/>
      </w:pPr>
      <w:r>
        <w:t xml:space="preserve">Census data is self-reported (MCS-150) on up to a 2-year refresh cycle; the model scores whatever is on file.</w:t>
      </w:r>
    </w:p>
    <w:p>
      <w:pPr>
        <w:pStyle w:val="ListParagraph"/>
        <w:numPr>
          <w:ilvl w:val="0"/>
          <w:numId w:val="2"/>
        </w:numPr>
        <w:spacing w:after="80" w:line="264"/>
      </w:pPr>
      <w:r>
        <w:t xml:space="preserve">Survivorship: carriers that crashed and exited are absent from the training population, biasing fitted frequency downward, plausibly most in the highest-risk segments.</w:t>
      </w:r>
    </w:p>
    <w:p>
      <w:pPr>
        <w:pStyle w:val="ListParagraph"/>
        <w:numPr>
          <w:ilvl w:val="0"/>
          <w:numId w:val="2"/>
        </w:numPr>
        <w:spacing w:after="80" w:line="264"/>
      </w:pPr>
      <w:r>
        <w:t xml:space="preserve">NB alpha selection landed at the edge of the tested grid (5.0) on the real data pull — the grid should be widened and re-checked before this is treated as final.</w:t>
      </w:r>
    </w:p>
    <w:p>
      <w:pPr>
        <w:pStyle w:val="Heading1"/>
        <w:spacing w:after="160" w:before="320"/>
      </w:pPr>
      <w:r>
        <w:t xml:space="preserve">7. What I'd Watch in Force</w:t>
      </w:r>
    </w:p>
    <w:p>
      <w:pPr>
        <w:pStyle w:val="ListParagraph"/>
        <w:numPr>
          <w:ilvl w:val="0"/>
          <w:numId w:val="2"/>
        </w:numPr>
        <w:spacing w:after="80" w:line="264"/>
      </w:pPr>
      <w:r>
        <w:t xml:space="preserve">Actual vs. expected frequency by rating band, monthly, on written exposure.</w:t>
      </w:r>
    </w:p>
    <w:p>
      <w:pPr>
        <w:pStyle w:val="ListParagraph"/>
        <w:numPr>
          <w:ilvl w:val="0"/>
          <w:numId w:val="2"/>
        </w:numPr>
        <w:spacing w:after="80" w:line="264"/>
      </w:pPr>
      <w:r>
        <w:t xml:space="preserve">Mix of business by age band and operation type against the training mix — drift means the relativities need refitting.</w:t>
      </w:r>
    </w:p>
    <w:p>
      <w:pPr>
        <w:pStyle w:val="ListParagraph"/>
        <w:numPr>
          <w:ilvl w:val="0"/>
          <w:numId w:val="2"/>
        </w:numPr>
        <w:spacing w:after="80" w:line="264"/>
      </w:pPr>
      <w:r>
        <w:t xml:space="preserve">Proportion of quotes hitting MIN_PREMIUM, which is where frequency segmentation stops reaching the price.</w:t>
      </w:r>
    </w:p>
    <w:p>
      <w:pPr>
        <w:pStyle w:val="ListParagraph"/>
        <w:numPr>
          <w:ilvl w:val="0"/>
          <w:numId w:val="2"/>
        </w:numPr>
        <w:spacing w:after="80" w:line="264"/>
      </w:pPr>
      <w:r>
        <w:t xml:space="preserve">Hit ratio by band, which shows whether the market agrees with the relativities or is selecting against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2026-09-27T09:29:05.903Z</dcterms:created>
  <dcterms:modified xsi:type="dcterms:W3CDTF">2026-09-27T09:29:05.912Z</dcterms:modified>
</cp:coreProperties>
</file>

<file path=docProps/custom.xml><?xml version="1.0" encoding="utf-8"?>
<Properties xmlns="http://schemas.openxmlformats.org/officeDocument/2006/custom-properties" xmlns:vt="http://schemas.openxmlformats.org/officeDocument/2006/docPropsVTypes"/>
</file>