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200" w:before="0"/>
        <w:jc w:val="center"/>
      </w:pPr>
      <w:r>
        <w:rPr>
          <w:rFonts w:ascii="Arial" w:cs="Arial" w:eastAsia="Arial" w:hAnsi="Arial"/>
          <w:b/>
          <w:bCs/>
          <w:color w:val="1F3864"/>
          <w:sz w:val="36"/>
          <w:szCs w:val="36"/>
        </w:rPr>
        <w:t xml:space="preserve">INFORMATION SECURITY MANAGEMENT SYSTEM</w:t>
      </w:r>
    </w:p>
    <w:p>
      <w:pPr>
        <w:spacing w:after="600" w:before="0"/>
        <w:jc w:val="center"/>
      </w:pPr>
      <w:r>
        <w:rPr>
          <w:rFonts w:ascii="Arial" w:cs="Arial" w:eastAsia="Arial" w:hAnsi="Arial"/>
          <w:b/>
          <w:bCs/>
          <w:color w:val="2E75B6"/>
          <w:sz w:val="52"/>
          <w:szCs w:val="52"/>
        </w:rPr>
        <w:t xml:space="preserve">ISMS Scope Document</w:t>
      </w:r>
    </w:p>
    <w:p>
      <w:pPr>
        <w:pBdr>
          <w:bottom w:val="single" w:color="2E75B6" w:sz="6"/>
        </w:pBdr>
        <w:spacing w:after="400" w:before="0"/>
        <w:jc w:val="center"/>
      </w:pPr>
      <w:r>
        <w:t xml:space="preserve"/>
      </w:r>
    </w:p>
    <w:p>
      <w:pPr>
        <w:spacing w:after="200" w:before="0"/>
      </w:pPr>
      <w:r>
        <w:t xml:space="preserve"/>
      </w:r>
    </w:p>
    <w:p>
      <w:pPr>
        <w:spacing w:after="120" w:before="0"/>
        <w:jc w:val="center"/>
      </w:pPr>
      <w:r>
        <w:rPr>
          <w:rFonts w:ascii="Arial" w:cs="Arial" w:eastAsia="Arial" w:hAnsi="Arial"/>
          <w:b/>
          <w:bCs/>
          <w:color w:val="1F3864"/>
          <w:sz w:val="28"/>
          <w:szCs w:val="28"/>
        </w:rPr>
        <w:t xml:space="preserve">[Organization Name] Co., Ltd.</w:t>
      </w:r>
    </w:p>
    <w:p>
      <w:pPr>
        <w:spacing w:after="120" w:before="0"/>
        <w:jc w:val="center"/>
      </w:pPr>
      <w:r>
        <w:rPr>
          <w:rFonts w:ascii="Arial" w:cs="Arial" w:eastAsia="Arial" w:hAnsi="Arial"/>
          <w:color w:val="555555"/>
          <w:sz w:val="22"/>
          <w:szCs w:val="22"/>
        </w:rPr>
        <w:t xml:space="preserve">Document Reference: ISMS-SCO-001</w:t>
      </w:r>
    </w:p>
    <w:p>
      <w:pPr>
        <w:spacing w:after="120" w:before="0"/>
        <w:jc w:val="center"/>
      </w:pPr>
      <w:r>
        <w:rPr>
          <w:rFonts w:ascii="Arial" w:cs="Arial" w:eastAsia="Arial" w:hAnsi="Arial"/>
          <w:color w:val="555555"/>
          <w:sz w:val="22"/>
          <w:szCs w:val="22"/>
        </w:rPr>
        <w:t xml:space="preserve">Version 1.0  |  2 May 2026</w:t>
      </w:r>
    </w:p>
    <w:p>
      <w:pPr>
        <w:spacing w:after="120" w:before="0"/>
        <w:jc w:val="center"/>
      </w:pPr>
      <w:r>
        <w:rPr>
          <w:rFonts w:ascii="Arial" w:cs="Arial" w:eastAsia="Arial" w:hAnsi="Arial"/>
          <w:b/>
          <w:bCs/>
          <w:color w:val="CC0000"/>
          <w:sz w:val="20"/>
          <w:szCs w:val="20"/>
        </w:rPr>
        <w:t xml:space="preserve">CLASSIFICATION: INTERNAL</w:t>
      </w:r>
    </w:p>
    <w:p>
      <w:pPr>
        <w:spacing w:after="400" w:before="0"/>
      </w:pPr>
      <w:r>
        <w:t xml:space="preserve"/>
      </w:r>
    </w:p>
    <w:p>
      <w:pPr>
        <w:spacing w:after="100" w:before="0"/>
        <w:jc w:val="center"/>
      </w:pPr>
      <w:r>
        <w:rPr>
          <w:rFonts w:ascii="Arial" w:cs="Arial" w:eastAsia="Arial" w:hAnsi="Arial"/>
          <w:color w:val="777777"/>
          <w:sz w:val="20"/>
          <w:szCs w:val="20"/>
        </w:rPr>
        <w:t xml:space="preserve">ISO/IEC 27001:2022 — Clause 4.3</w:t>
      </w:r>
    </w:p>
    <w:p>
      <w:pPr>
        <w:pageBreakBefore/>
      </w:pPr>
      <w:r>
        <w:t xml:space="preserve"/>
      </w:r>
    </w:p>
    <w:p>
      <w:pPr>
        <w:pStyle w:val="Heading1"/>
        <w:spacing w:after="160" w:before="320"/>
      </w:pPr>
      <w:r>
        <w:rPr>
          <w:rFonts w:ascii="Arial" w:cs="Arial" w:eastAsia="Arial" w:hAnsi="Arial"/>
          <w:b/>
          <w:bCs/>
          <w:color w:val="1F3864"/>
          <w:sz w:val="28"/>
          <w:szCs w:val="28"/>
        </w:rPr>
        <w:t xml:space="preserve">1. Document Control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ISMS Scope Document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ISMS-SCO-001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 Manager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Chief Executive Officer / CISO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Date of Issue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May 2026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May 2027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ISO 27001 Clause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Clause 4.3 — Determining the scope of the ISMS</w:t>
            </w:r>
          </w:p>
        </w:tc>
      </w:tr>
    </w:tbl>
    <w:p>
      <w:pPr>
        <w:spacing w:after="200" w:before="0"/>
      </w:pPr>
      <w:r>
        <w:t xml:space="preserve"/>
      </w:r>
    </w:p>
    <w:p>
      <w:pPr>
        <w:pStyle w:val="Heading2"/>
        <w:spacing w:after="100" w:before="240"/>
      </w:pPr>
      <w:r>
        <w:rPr>
          <w:rFonts w:ascii="Arial" w:cs="Arial" w:eastAsia="Arial" w:hAnsi="Arial"/>
          <w:b/>
          <w:bCs/>
          <w:color w:val="2E75B6"/>
          <w:sz w:val="24"/>
          <w:szCs w:val="24"/>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360"/>
        <w:gridCol w:w="280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 Description</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May 2026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release — ISMS Scope established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 Manager</w:t>
            </w:r>
          </w:p>
        </w:tc>
      </w:tr>
    </w:tbl>
    <w:p>
      <w:pPr>
        <w:spacing w:after="200" w:before="0"/>
      </w:pPr>
      <w:r>
        <w:t xml:space="preserve"/>
      </w:r>
    </w:p>
    <w:p>
      <w:pPr>
        <w:pStyle w:val="Heading1"/>
        <w:spacing w:after="160" w:before="320"/>
      </w:pPr>
      <w:r>
        <w:rPr>
          <w:rFonts w:ascii="Arial" w:cs="Arial" w:eastAsia="Arial" w:hAnsi="Arial"/>
          <w:b/>
          <w:bCs/>
          <w:color w:val="1F3864"/>
          <w:sz w:val="28"/>
          <w:szCs w:val="28"/>
        </w:rPr>
        <w:t xml:space="preserve">2. Purpose and Background</w:t>
      </w:r>
    </w:p>
    <w:p>
      <w:pPr>
        <w:spacing w:after="80" w:before="80"/>
      </w:pPr>
      <w:r>
        <w:rPr>
          <w:rFonts w:ascii="Arial" w:cs="Arial" w:eastAsia="Arial" w:hAnsi="Arial"/>
          <w:sz w:val="22"/>
          <w:szCs w:val="22"/>
        </w:rPr>
        <w:t xml:space="preserve">This document defines the scope of the Information Security Management System (ISMS) established by [Organization Name] Co., Ltd. (hereinafter referred to as "the Organization") in accordance with the requirements of ISO/IEC 27001:2022, Clause 4.3.</w:t>
      </w:r>
    </w:p>
    <w:p>
      <w:pPr>
        <w:spacing w:after="100" w:before="0"/>
      </w:pPr>
      <w:r>
        <w:t xml:space="preserve"/>
      </w:r>
    </w:p>
    <w:p>
      <w:pPr>
        <w:spacing w:after="80" w:before="80"/>
      </w:pPr>
      <w:r>
        <w:rPr>
          <w:rFonts w:ascii="Arial" w:cs="Arial" w:eastAsia="Arial" w:hAnsi="Arial"/>
          <w:sz w:val="22"/>
          <w:szCs w:val="22"/>
        </w:rPr>
        <w:t xml:space="preserve">The ISMS scope defines the boundaries and applicability of the ISMS, including the information assets, processes, systems, people, and physical locations that are subject to the controls and requirements of the management system. A clearly defined scope is a mandatory prerequisite for ISO 27001:2022 certification.</w:t>
      </w:r>
    </w:p>
    <w:p>
      <w:pPr>
        <w:spacing w:after="100" w:before="0"/>
      </w:pPr>
      <w:r>
        <w:t xml:space="preserve"/>
      </w:r>
    </w:p>
    <w:p>
      <w:pPr>
        <w:spacing w:after="80" w:before="80"/>
      </w:pPr>
      <w:r>
        <w:rPr>
          <w:rFonts w:ascii="Arial" w:cs="Arial" w:eastAsia="Arial" w:hAnsi="Arial"/>
          <w:sz w:val="22"/>
          <w:szCs w:val="22"/>
        </w:rPr>
        <w:t xml:space="preserve">This document must be read in conjunction with the Organization's Information Security Policy (ISMS-POL-001) and the Statement of Applicability (ISMS-SOA-001).</w:t>
      </w:r>
    </w:p>
    <w:p>
      <w:pPr>
        <w:spacing w:after="200" w:before="0"/>
      </w:pPr>
      <w:r>
        <w:t xml:space="preserve"/>
      </w:r>
    </w:p>
    <w:p>
      <w:pPr>
        <w:pStyle w:val="Heading1"/>
        <w:spacing w:after="160" w:before="320"/>
      </w:pPr>
      <w:r>
        <w:rPr>
          <w:rFonts w:ascii="Arial" w:cs="Arial" w:eastAsia="Arial" w:hAnsi="Arial"/>
          <w:b/>
          <w:bCs/>
          <w:color w:val="1F3864"/>
          <w:sz w:val="28"/>
          <w:szCs w:val="28"/>
        </w:rPr>
        <w:t xml:space="preserve">3. Organization Context (Clause 4.1 &amp; 4.2)</w:t>
      </w:r>
    </w:p>
    <w:p>
      <w:pPr>
        <w:pStyle w:val="Heading2"/>
        <w:spacing w:after="100" w:before="240"/>
      </w:pPr>
      <w:r>
        <w:rPr>
          <w:rFonts w:ascii="Arial" w:cs="Arial" w:eastAsia="Arial" w:hAnsi="Arial"/>
          <w:b/>
          <w:bCs/>
          <w:color w:val="2E75B6"/>
          <w:sz w:val="24"/>
          <w:szCs w:val="24"/>
        </w:rPr>
        <w:t xml:space="preserve">3.1 Organization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Organization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[Organization Name] Co., Ltd.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Industry / Sector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Information Technology (IT) / Software Development and Services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Organization Size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approximately 51–250 employees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Primary Business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 development, deployment, and support of software products and IT services for enterprise and SME clients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Region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[Country / Region — e.g., Myanmar, Southeast Asia]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Key Clients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Enterprise clients, government agencies, and SME organizations requiring software solutions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Cloud-hosted and on-premises software systems; SaaS, web applications, and mobile platforms</w:t>
            </w:r>
          </w:p>
        </w:tc>
      </w:tr>
    </w:tbl>
    <w:p>
      <w:pPr>
        <w:spacing w:after="200" w:before="0"/>
      </w:pPr>
      <w:r>
        <w:t xml:space="preserve"/>
      </w:r>
    </w:p>
    <w:p>
      <w:pPr>
        <w:pStyle w:val="Heading2"/>
        <w:spacing w:after="100" w:before="240"/>
      </w:pPr>
      <w:r>
        <w:rPr>
          <w:rFonts w:ascii="Arial" w:cs="Arial" w:eastAsia="Arial" w:hAnsi="Arial"/>
          <w:b/>
          <w:bCs/>
          <w:color w:val="2E75B6"/>
          <w:sz w:val="24"/>
          <w:szCs w:val="24"/>
        </w:rPr>
        <w:t xml:space="preserve">3.2 Internal Context (Clause 4.1)</w:t>
      </w:r>
    </w:p>
    <w:p>
      <w:pPr>
        <w:spacing w:after="80" w:before="80"/>
      </w:pPr>
      <w:r>
        <w:rPr>
          <w:rFonts w:ascii="Arial" w:cs="Arial" w:eastAsia="Arial" w:hAnsi="Arial"/>
          <w:sz w:val="22"/>
          <w:szCs w:val="22"/>
        </w:rPr>
        <w:t xml:space="preserve">Internal factors that influence the ISMS scope include:</w:t>
      </w:r>
    </w:p>
    <w:p>
      <w:pPr>
        <w:pStyle w:val="ListParagraph"/>
        <w:numPr>
          <w:ilvl w:val="0"/>
          <w:numId w:val="2"/>
        </w:numPr>
        <w:spacing w:after="60" w:before="60"/>
      </w:pPr>
      <w:r>
        <w:rPr>
          <w:rFonts w:ascii="Arial" w:cs="Arial" w:eastAsia="Arial" w:hAnsi="Arial"/>
          <w:sz w:val="22"/>
          <w:szCs w:val="22"/>
        </w:rPr>
        <w:t xml:space="preserve">Organizational structure — all departments including Engineering, Operations, Sales &amp; Marketing, Finance, HR, and Management</w:t>
      </w:r>
    </w:p>
    <w:p>
      <w:pPr>
        <w:pStyle w:val="ListParagraph"/>
        <w:numPr>
          <w:ilvl w:val="0"/>
          <w:numId w:val="2"/>
        </w:numPr>
        <w:spacing w:after="60" w:before="60"/>
      </w:pPr>
      <w:r>
        <w:rPr>
          <w:rFonts w:ascii="Arial" w:cs="Arial" w:eastAsia="Arial" w:hAnsi="Arial"/>
          <w:sz w:val="22"/>
          <w:szCs w:val="22"/>
        </w:rPr>
        <w:t xml:space="preserve">Business strategy — rapid growth, client delivery commitments, and software quality objectives</w:t>
      </w:r>
    </w:p>
    <w:p>
      <w:pPr>
        <w:pStyle w:val="ListParagraph"/>
        <w:numPr>
          <w:ilvl w:val="0"/>
          <w:numId w:val="2"/>
        </w:numPr>
        <w:spacing w:after="60" w:before="60"/>
      </w:pPr>
      <w:r>
        <w:rPr>
          <w:rFonts w:ascii="Arial" w:cs="Arial" w:eastAsia="Arial" w:hAnsi="Arial"/>
          <w:sz w:val="22"/>
          <w:szCs w:val="22"/>
        </w:rPr>
        <w:t xml:space="preserve">Technology infrastructure — cloud platforms (AWS/Azure/GCP), on-premise servers, employee devices, and internal networks</w:t>
      </w:r>
    </w:p>
    <w:p>
      <w:pPr>
        <w:pStyle w:val="ListParagraph"/>
        <w:numPr>
          <w:ilvl w:val="0"/>
          <w:numId w:val="2"/>
        </w:numPr>
        <w:spacing w:after="60" w:before="60"/>
      </w:pPr>
      <w:r>
        <w:rPr>
          <w:rFonts w:ascii="Arial" w:cs="Arial" w:eastAsia="Arial" w:hAnsi="Arial"/>
          <w:sz w:val="22"/>
          <w:szCs w:val="22"/>
        </w:rPr>
        <w:t xml:space="preserve">Workforce — full-time employees, contractors, and remote workers across all functions</w:t>
      </w:r>
    </w:p>
    <w:p>
      <w:pPr>
        <w:pStyle w:val="ListParagraph"/>
        <w:numPr>
          <w:ilvl w:val="0"/>
          <w:numId w:val="2"/>
        </w:numPr>
        <w:spacing w:after="60" w:before="60"/>
      </w:pPr>
      <w:r>
        <w:rPr>
          <w:rFonts w:ascii="Arial" w:cs="Arial" w:eastAsia="Arial" w:hAnsi="Arial"/>
          <w:sz w:val="22"/>
          <w:szCs w:val="22"/>
        </w:rPr>
        <w:t xml:space="preserve">Information assets — source code, client data, internal systems, credentials, financial records, and intellectual property</w:t>
      </w:r>
    </w:p>
    <w:p>
      <w:pPr>
        <w:pStyle w:val="ListParagraph"/>
        <w:numPr>
          <w:ilvl w:val="0"/>
          <w:numId w:val="2"/>
        </w:numPr>
        <w:spacing w:after="60" w:before="60"/>
      </w:pPr>
      <w:r>
        <w:rPr>
          <w:rFonts w:ascii="Arial" w:cs="Arial" w:eastAsia="Arial" w:hAnsi="Arial"/>
          <w:sz w:val="22"/>
          <w:szCs w:val="22"/>
        </w:rPr>
        <w:t xml:space="preserve">Culture and governance — management commitment to information security and compliance</w:t>
      </w:r>
    </w:p>
    <w:p>
      <w:pPr>
        <w:spacing w:after="200" w:before="0"/>
      </w:pPr>
      <w:r>
        <w:t xml:space="preserve"/>
      </w:r>
    </w:p>
    <w:p>
      <w:pPr>
        <w:pStyle w:val="Heading2"/>
        <w:spacing w:after="100" w:before="240"/>
      </w:pPr>
      <w:r>
        <w:rPr>
          <w:rFonts w:ascii="Arial" w:cs="Arial" w:eastAsia="Arial" w:hAnsi="Arial"/>
          <w:b/>
          <w:bCs/>
          <w:color w:val="2E75B6"/>
          <w:sz w:val="24"/>
          <w:szCs w:val="24"/>
        </w:rPr>
        <w:t xml:space="preserve">3.3 External Context (Clause 4.1)</w:t>
      </w:r>
    </w:p>
    <w:p>
      <w:pPr>
        <w:spacing w:after="80" w:before="80"/>
      </w:pPr>
      <w:r>
        <w:rPr>
          <w:rFonts w:ascii="Arial" w:cs="Arial" w:eastAsia="Arial" w:hAnsi="Arial"/>
          <w:sz w:val="22"/>
          <w:szCs w:val="22"/>
        </w:rPr>
        <w:t xml:space="preserve">External factors that influence the ISMS scope include:</w:t>
      </w:r>
    </w:p>
    <w:p>
      <w:pPr>
        <w:pStyle w:val="ListParagraph"/>
        <w:numPr>
          <w:ilvl w:val="0"/>
          <w:numId w:val="2"/>
        </w:numPr>
        <w:spacing w:after="60" w:before="60"/>
      </w:pPr>
      <w:r>
        <w:rPr>
          <w:rFonts w:ascii="Arial" w:cs="Arial" w:eastAsia="Arial" w:hAnsi="Arial"/>
          <w:sz w:val="22"/>
          <w:szCs w:val="22"/>
        </w:rPr>
        <w:t xml:space="preserve">Regulatory and legal obligations — applicable national data protection laws, cybersecurity regulations, and industry-specific requirements</w:t>
      </w:r>
    </w:p>
    <w:p>
      <w:pPr>
        <w:pStyle w:val="ListParagraph"/>
        <w:numPr>
          <w:ilvl w:val="0"/>
          <w:numId w:val="2"/>
        </w:numPr>
        <w:spacing w:after="60" w:before="60"/>
      </w:pPr>
      <w:r>
        <w:rPr>
          <w:rFonts w:ascii="Arial" w:cs="Arial" w:eastAsia="Arial" w:hAnsi="Arial"/>
          <w:sz w:val="22"/>
          <w:szCs w:val="22"/>
        </w:rPr>
        <w:t xml:space="preserve">Client contractual requirements — information security obligations embedded in contracts and service agreements</w:t>
      </w:r>
    </w:p>
    <w:p>
      <w:pPr>
        <w:pStyle w:val="ListParagraph"/>
        <w:numPr>
          <w:ilvl w:val="0"/>
          <w:numId w:val="2"/>
        </w:numPr>
        <w:spacing w:after="60" w:before="60"/>
      </w:pPr>
      <w:r>
        <w:rPr>
          <w:rFonts w:ascii="Arial" w:cs="Arial" w:eastAsia="Arial" w:hAnsi="Arial"/>
          <w:sz w:val="22"/>
          <w:szCs w:val="22"/>
        </w:rPr>
        <w:t xml:space="preserve">Threat landscape — cyber threats including ransomware, social engineering, supply chain attacks, and insider threats</w:t>
      </w:r>
    </w:p>
    <w:p>
      <w:pPr>
        <w:pStyle w:val="ListParagraph"/>
        <w:numPr>
          <w:ilvl w:val="0"/>
          <w:numId w:val="2"/>
        </w:numPr>
        <w:spacing w:after="60" w:before="60"/>
      </w:pPr>
      <w:r>
        <w:rPr>
          <w:rFonts w:ascii="Arial" w:cs="Arial" w:eastAsia="Arial" w:hAnsi="Arial"/>
          <w:sz w:val="22"/>
          <w:szCs w:val="22"/>
        </w:rPr>
        <w:t xml:space="preserve">Technology ecosystem — third-party vendors, cloud service providers, and open-source dependencies</w:t>
      </w:r>
    </w:p>
    <w:p>
      <w:pPr>
        <w:pStyle w:val="ListParagraph"/>
        <w:numPr>
          <w:ilvl w:val="0"/>
          <w:numId w:val="2"/>
        </w:numPr>
        <w:spacing w:after="60" w:before="60"/>
      </w:pPr>
      <w:r>
        <w:rPr>
          <w:rFonts w:ascii="Arial" w:cs="Arial" w:eastAsia="Arial" w:hAnsi="Arial"/>
          <w:sz w:val="22"/>
          <w:szCs w:val="22"/>
        </w:rPr>
        <w:t xml:space="preserve">Market expectations — increasing client demand for ISO 27001 certification as a qualification criterion</w:t>
      </w:r>
    </w:p>
    <w:p>
      <w:pPr>
        <w:pStyle w:val="ListParagraph"/>
        <w:numPr>
          <w:ilvl w:val="0"/>
          <w:numId w:val="2"/>
        </w:numPr>
        <w:spacing w:after="60" w:before="60"/>
      </w:pPr>
      <w:r>
        <w:rPr>
          <w:rFonts w:ascii="Arial" w:cs="Arial" w:eastAsia="Arial" w:hAnsi="Arial"/>
          <w:sz w:val="22"/>
          <w:szCs w:val="22"/>
        </w:rPr>
        <w:t xml:space="preserve">Standards and frameworks — ISO/IEC 27001:2022, ISO/IEC 27002:2022, and applicable national cybersecurity frameworks</w:t>
      </w:r>
    </w:p>
    <w:p>
      <w:pPr>
        <w:spacing w:after="200" w:before="0"/>
      </w:pPr>
      <w:r>
        <w:t xml:space="preserve"/>
      </w:r>
    </w:p>
    <w:p>
      <w:pPr>
        <w:pStyle w:val="Heading2"/>
        <w:spacing w:after="100" w:before="240"/>
      </w:pPr>
      <w:r>
        <w:rPr>
          <w:rFonts w:ascii="Arial" w:cs="Arial" w:eastAsia="Arial" w:hAnsi="Arial"/>
          <w:b/>
          <w:bCs/>
          <w:color w:val="2E75B6"/>
          <w:sz w:val="24"/>
          <w:szCs w:val="24"/>
        </w:rPr>
        <w:t xml:space="preserve">3.4 Interested Parties (Clause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Interested Party</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Information Security Need / Expectation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Relevance to Scope</w:t>
            </w:r>
          </w:p>
        </w:tc>
        <w:tc>
          <w:tcPr>
            <w:tcW w:type="dxa" w:w="1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Clients / Customers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Confidentiality of their data; service availability; contractual compliance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Direct — client data processed within scope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Employees &amp; Contractors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Clear IS policies; safe working environment; privacy of personal data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Direct — operate within scope systems and processes</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Senior Management / Board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Risk oversight; legal compliance; business continuity; certification status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Direct — set IS objectives and approve scope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Regulatory Authorities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Compliance with data protection and cybersecurity laws; breach notification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External — scope must enable compliance demonstration</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Suppliers &amp; Vendors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 security requirements; fair data sharing practices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External — supply chain intersects with scope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Shareholders / Investors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Protection of organizational value; risk management; reputational integrity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Indirect — influenced by ISMS effectiveness</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Auditors / Certification Body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Access to evidence; documented processes; scope clarity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Direct — assess ISMS against this scope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200" w:before="0"/>
      </w:pPr>
      <w:r>
        <w:t xml:space="preserve"/>
      </w:r>
    </w:p>
    <w:p>
      <w:pPr>
        <w:pStyle w:val="Heading1"/>
        <w:spacing w:after="160" w:before="320"/>
      </w:pPr>
      <w:r>
        <w:rPr>
          <w:rFonts w:ascii="Arial" w:cs="Arial" w:eastAsia="Arial" w:hAnsi="Arial"/>
          <w:b/>
          <w:bCs/>
          <w:color w:val="1F3864"/>
          <w:sz w:val="28"/>
          <w:szCs w:val="28"/>
        </w:rPr>
        <w:t xml:space="preserve">4. ISMS Scope Statement (Clause 4.3)</w:t>
      </w:r>
    </w:p>
    <w:p>
      <w:pPr>
        <w:pBdr>
          <w:left w:val="single" w:color="2E75B6" w:sz="12"/>
        </w:pBdr>
        <w:shd w:fill="D6E4F0" w:val="clear"/>
        <w:spacing w:after="160" w:before="160"/>
        <w:ind w:left="360" w:right="360"/>
      </w:pPr>
      <w:r>
        <w:rPr>
          <w:rFonts w:ascii="Arial" w:cs="Arial" w:eastAsia="Arial" w:hAnsi="Arial"/>
          <w:b/>
          <w:bCs/>
          <w:color w:val="1F3864"/>
          <w:sz w:val="22"/>
          <w:szCs w:val="22"/>
        </w:rPr>
        <w:br/>
        <w:t xml:space="preserve">Formal Scope Statement</w:t>
      </w:r>
      <w:r>
        <w:rPr>
          <w:rFonts w:ascii="Arial" w:cs="Arial" w:eastAsia="Arial" w:hAnsi="Arial"/>
          <w:sz w:val="22"/>
          <w:szCs w:val="22"/>
        </w:rPr>
        <w:br/>
        <w:t xml:space="preserve"> </w:t>
      </w:r>
      <w:r>
        <w:rPr>
          <w:rFonts w:ascii="Arial" w:cs="Arial" w:eastAsia="Arial" w:hAnsi="Arial"/>
          <w:i/>
          <w:iCs/>
          <w:sz w:val="22"/>
          <w:szCs w:val="22"/>
        </w:rPr>
        <w:t xml:space="preserve">The Information Security Management System (ISMS) of [Organization Name] Co., Ltd. encompasses the entirety of the organization's information assets, processes, personnel, technology systems, and physical locations associated with the design, development, delivery, operation, and support of software products and IT services.</w:t>
      </w:r>
      <w:r>
        <w:rPr>
          <w:rFonts w:ascii="Arial" w:cs="Arial" w:eastAsia="Arial" w:hAnsi="Arial"/>
          <w:sz w:val="22"/>
          <w:szCs w:val="22"/>
        </w:rPr>
        <w:br/>
        <w:t xml:space="preserve"> </w:t>
      </w:r>
      <w:r>
        <w:rPr>
          <w:rFonts w:ascii="Arial" w:cs="Arial" w:eastAsia="Arial" w:hAnsi="Arial"/>
          <w:sz w:val="22"/>
          <w:szCs w:val="22"/>
        </w:rPr>
        <w:br/>
        <w:t xml:space="preserve"> </w:t>
      </w:r>
      <w:r>
        <w:rPr>
          <w:rFonts w:ascii="Arial" w:cs="Arial" w:eastAsia="Arial" w:hAnsi="Arial"/>
          <w:i/>
          <w:iCs/>
          <w:sz w:val="22"/>
          <w:szCs w:val="22"/>
        </w:rPr>
        <w:t xml:space="preserve">The scope applies to all departments, all employees, all contractors and third parties operating under the Organization's direction, and all information systems and infrastructure — whether hosted on-premise, in the cloud, or at third-party facilities — that process, store, or transmit the Organization's information assets or client data.</w:t>
      </w:r>
    </w:p>
    <w:p>
      <w:pPr>
        <w:spacing w:after="200" w:before="0"/>
      </w:pPr>
      <w:r>
        <w:t xml:space="preserve"/>
      </w:r>
    </w:p>
    <w:p>
      <w:pPr>
        <w:pStyle w:val="Heading2"/>
        <w:spacing w:after="100" w:before="240"/>
      </w:pPr>
      <w:r>
        <w:rPr>
          <w:rFonts w:ascii="Arial" w:cs="Arial" w:eastAsia="Arial" w:hAnsi="Arial"/>
          <w:b/>
          <w:bCs/>
          <w:color w:val="2E75B6"/>
          <w:sz w:val="24"/>
          <w:szCs w:val="24"/>
        </w:rPr>
        <w:t xml:space="preserve">4.1 Scope Inclusions</w:t>
      </w:r>
    </w:p>
    <w:p>
      <w:pPr>
        <w:spacing w:after="80" w:before="80"/>
      </w:pPr>
      <w:r>
        <w:rPr>
          <w:rFonts w:ascii="Arial" w:cs="Arial" w:eastAsia="Arial" w:hAnsi="Arial"/>
          <w:sz w:val="22"/>
          <w:szCs w:val="22"/>
        </w:rPr>
        <w:t xml:space="preserve">The following are explicitly included within the ISMS scope:</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4.1.1 Departments and Functions</w:t>
      </w:r>
    </w:p>
    <w:p>
      <w:pPr>
        <w:pStyle w:val="ListParagraph"/>
        <w:numPr>
          <w:ilvl w:val="0"/>
          <w:numId w:val="2"/>
        </w:numPr>
        <w:spacing w:after="60" w:before="60"/>
      </w:pPr>
      <w:r>
        <w:rPr>
          <w:rFonts w:ascii="Arial" w:cs="Arial" w:eastAsia="Arial" w:hAnsi="Arial"/>
          <w:sz w:val="22"/>
          <w:szCs w:val="22"/>
        </w:rPr>
        <w:t xml:space="preserve">Engineering &amp; Software Development — all development, QA, DevOps, and release activities</w:t>
      </w:r>
    </w:p>
    <w:p>
      <w:pPr>
        <w:pStyle w:val="ListParagraph"/>
        <w:numPr>
          <w:ilvl w:val="0"/>
          <w:numId w:val="2"/>
        </w:numPr>
        <w:spacing w:after="60" w:before="60"/>
      </w:pPr>
      <w:r>
        <w:rPr>
          <w:rFonts w:ascii="Arial" w:cs="Arial" w:eastAsia="Arial" w:hAnsi="Arial"/>
          <w:sz w:val="22"/>
          <w:szCs w:val="22"/>
        </w:rPr>
        <w:t xml:space="preserve">IT Operations &amp; Infrastructure — server management, network, cloud platforms, and helpdesk</w:t>
      </w:r>
    </w:p>
    <w:p>
      <w:pPr>
        <w:pStyle w:val="ListParagraph"/>
        <w:numPr>
          <w:ilvl w:val="0"/>
          <w:numId w:val="2"/>
        </w:numPr>
        <w:spacing w:after="60" w:before="60"/>
      </w:pPr>
      <w:r>
        <w:rPr>
          <w:rFonts w:ascii="Arial" w:cs="Arial" w:eastAsia="Arial" w:hAnsi="Arial"/>
          <w:sz w:val="22"/>
          <w:szCs w:val="22"/>
        </w:rPr>
        <w:t xml:space="preserve">Product Management — product strategy, roadmap, and client requirements management</w:t>
      </w:r>
    </w:p>
    <w:p>
      <w:pPr>
        <w:pStyle w:val="ListParagraph"/>
        <w:numPr>
          <w:ilvl w:val="0"/>
          <w:numId w:val="2"/>
        </w:numPr>
        <w:spacing w:after="60" w:before="60"/>
      </w:pPr>
      <w:r>
        <w:rPr>
          <w:rFonts w:ascii="Arial" w:cs="Arial" w:eastAsia="Arial" w:hAnsi="Arial"/>
          <w:sz w:val="22"/>
          <w:szCs w:val="22"/>
        </w:rPr>
        <w:t xml:space="preserve">Sales &amp; Business Development — CRM systems, client communication, and proposal processes</w:t>
      </w:r>
    </w:p>
    <w:p>
      <w:pPr>
        <w:pStyle w:val="ListParagraph"/>
        <w:numPr>
          <w:ilvl w:val="0"/>
          <w:numId w:val="2"/>
        </w:numPr>
        <w:spacing w:after="60" w:before="60"/>
      </w:pPr>
      <w:r>
        <w:rPr>
          <w:rFonts w:ascii="Arial" w:cs="Arial" w:eastAsia="Arial" w:hAnsi="Arial"/>
          <w:sz w:val="22"/>
          <w:szCs w:val="22"/>
        </w:rPr>
        <w:t xml:space="preserve">Finance &amp; Accounting — financial systems, payroll, and procurement</w:t>
      </w:r>
    </w:p>
    <w:p>
      <w:pPr>
        <w:pStyle w:val="ListParagraph"/>
        <w:numPr>
          <w:ilvl w:val="0"/>
          <w:numId w:val="2"/>
        </w:numPr>
        <w:spacing w:after="60" w:before="60"/>
      </w:pPr>
      <w:r>
        <w:rPr>
          <w:rFonts w:ascii="Arial" w:cs="Arial" w:eastAsia="Arial" w:hAnsi="Arial"/>
          <w:sz w:val="22"/>
          <w:szCs w:val="22"/>
        </w:rPr>
        <w:t xml:space="preserve">Human Resources — employee records, recruitment, onboarding, and offboarding</w:t>
      </w:r>
    </w:p>
    <w:p>
      <w:pPr>
        <w:pStyle w:val="ListParagraph"/>
        <w:numPr>
          <w:ilvl w:val="0"/>
          <w:numId w:val="2"/>
        </w:numPr>
        <w:spacing w:after="60" w:before="60"/>
      </w:pPr>
      <w:r>
        <w:rPr>
          <w:rFonts w:ascii="Arial" w:cs="Arial" w:eastAsia="Arial" w:hAnsi="Arial"/>
          <w:sz w:val="22"/>
          <w:szCs w:val="22"/>
        </w:rPr>
        <w:t xml:space="preserve">Senior Management &amp; Executive Team — governance, risk oversight, and decision-making</w:t>
      </w:r>
    </w:p>
    <w:p>
      <w:pPr>
        <w:pStyle w:val="ListParagraph"/>
        <w:numPr>
          <w:ilvl w:val="0"/>
          <w:numId w:val="2"/>
        </w:numPr>
        <w:spacing w:after="60" w:before="60"/>
      </w:pPr>
      <w:r>
        <w:rPr>
          <w:rFonts w:ascii="Arial" w:cs="Arial" w:eastAsia="Arial" w:hAnsi="Arial"/>
          <w:sz w:val="22"/>
          <w:szCs w:val="22"/>
        </w:rPr>
        <w:t xml:space="preserve">Legal &amp; Compliance — contractual obligations and regulatory compliance activities</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4.1.2 Information Asset Categories</w:t>
      </w:r>
    </w:p>
    <w:p>
      <w:pPr>
        <w:pStyle w:val="ListParagraph"/>
        <w:numPr>
          <w:ilvl w:val="0"/>
          <w:numId w:val="2"/>
        </w:numPr>
        <w:spacing w:after="60" w:before="60"/>
      </w:pPr>
      <w:r>
        <w:rPr>
          <w:rFonts w:ascii="Arial" w:cs="Arial" w:eastAsia="Arial" w:hAnsi="Arial"/>
          <w:sz w:val="22"/>
          <w:szCs w:val="22"/>
        </w:rPr>
        <w:t xml:space="preserve">Client data — all data processed, stored, or transmitted on behalf of clients under contractual agreements</w:t>
      </w:r>
    </w:p>
    <w:p>
      <w:pPr>
        <w:pStyle w:val="ListParagraph"/>
        <w:numPr>
          <w:ilvl w:val="0"/>
          <w:numId w:val="2"/>
        </w:numPr>
        <w:spacing w:after="60" w:before="60"/>
      </w:pPr>
      <w:r>
        <w:rPr>
          <w:rFonts w:ascii="Arial" w:cs="Arial" w:eastAsia="Arial" w:hAnsi="Arial"/>
          <w:sz w:val="22"/>
          <w:szCs w:val="22"/>
        </w:rPr>
        <w:t xml:space="preserve">Source code and intellectual property — proprietary software, algorithms, and design specifications</w:t>
      </w:r>
    </w:p>
    <w:p>
      <w:pPr>
        <w:pStyle w:val="ListParagraph"/>
        <w:numPr>
          <w:ilvl w:val="0"/>
          <w:numId w:val="2"/>
        </w:numPr>
        <w:spacing w:after="60" w:before="60"/>
      </w:pPr>
      <w:r>
        <w:rPr>
          <w:rFonts w:ascii="Arial" w:cs="Arial" w:eastAsia="Arial" w:hAnsi="Arial"/>
          <w:sz w:val="22"/>
          <w:szCs w:val="22"/>
        </w:rPr>
        <w:t xml:space="preserve">Employee personal data — HR records, payroll information, and identity credentials</w:t>
      </w:r>
    </w:p>
    <w:p>
      <w:pPr>
        <w:pStyle w:val="ListParagraph"/>
        <w:numPr>
          <w:ilvl w:val="0"/>
          <w:numId w:val="2"/>
        </w:numPr>
        <w:spacing w:after="60" w:before="60"/>
      </w:pPr>
      <w:r>
        <w:rPr>
          <w:rFonts w:ascii="Arial" w:cs="Arial" w:eastAsia="Arial" w:hAnsi="Arial"/>
          <w:sz w:val="22"/>
          <w:szCs w:val="22"/>
        </w:rPr>
        <w:t xml:space="preserve">System credentials and access keys — passwords, API keys, certificates, and authentication tokens</w:t>
      </w:r>
    </w:p>
    <w:p>
      <w:pPr>
        <w:pStyle w:val="ListParagraph"/>
        <w:numPr>
          <w:ilvl w:val="0"/>
          <w:numId w:val="2"/>
        </w:numPr>
        <w:spacing w:after="60" w:before="60"/>
      </w:pPr>
      <w:r>
        <w:rPr>
          <w:rFonts w:ascii="Arial" w:cs="Arial" w:eastAsia="Arial" w:hAnsi="Arial"/>
          <w:sz w:val="22"/>
          <w:szCs w:val="22"/>
        </w:rPr>
        <w:t xml:space="preserve">Business records — financial statements, contracts, proposals, and meeting records</w:t>
      </w:r>
    </w:p>
    <w:p>
      <w:pPr>
        <w:pStyle w:val="ListParagraph"/>
        <w:numPr>
          <w:ilvl w:val="0"/>
          <w:numId w:val="2"/>
        </w:numPr>
        <w:spacing w:after="60" w:before="60"/>
      </w:pPr>
      <w:r>
        <w:rPr>
          <w:rFonts w:ascii="Arial" w:cs="Arial" w:eastAsia="Arial" w:hAnsi="Arial"/>
          <w:sz w:val="22"/>
          <w:szCs w:val="22"/>
        </w:rPr>
        <w:t xml:space="preserve">Infrastructure configuration data — network diagrams, system configurations, and architecture documentation</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4.1.3 Technology Systems and Infrastructure</w:t>
      </w:r>
    </w:p>
    <w:p>
      <w:pPr>
        <w:pStyle w:val="ListParagraph"/>
        <w:numPr>
          <w:ilvl w:val="0"/>
          <w:numId w:val="2"/>
        </w:numPr>
        <w:spacing w:after="60" w:before="60"/>
      </w:pPr>
      <w:r>
        <w:rPr>
          <w:rFonts w:ascii="Arial" w:cs="Arial" w:eastAsia="Arial" w:hAnsi="Arial"/>
          <w:sz w:val="22"/>
          <w:szCs w:val="22"/>
        </w:rPr>
        <w:t xml:space="preserve">Cloud platforms and hosted services — AWS, Azure, GCP, or equivalent IaaS/PaaS/SaaS environments</w:t>
      </w:r>
    </w:p>
    <w:p>
      <w:pPr>
        <w:pStyle w:val="ListParagraph"/>
        <w:numPr>
          <w:ilvl w:val="0"/>
          <w:numId w:val="2"/>
        </w:numPr>
        <w:spacing w:after="60" w:before="60"/>
      </w:pPr>
      <w:r>
        <w:rPr>
          <w:rFonts w:ascii="Arial" w:cs="Arial" w:eastAsia="Arial" w:hAnsi="Arial"/>
          <w:sz w:val="22"/>
          <w:szCs w:val="22"/>
        </w:rPr>
        <w:t xml:space="preserve">On-premise servers and network equipment — internal servers, firewalls, switches, and routers</w:t>
      </w:r>
    </w:p>
    <w:p>
      <w:pPr>
        <w:pStyle w:val="ListParagraph"/>
        <w:numPr>
          <w:ilvl w:val="0"/>
          <w:numId w:val="2"/>
        </w:numPr>
        <w:spacing w:after="60" w:before="60"/>
      </w:pPr>
      <w:r>
        <w:rPr>
          <w:rFonts w:ascii="Arial" w:cs="Arial" w:eastAsia="Arial" w:hAnsi="Arial"/>
          <w:sz w:val="22"/>
          <w:szCs w:val="22"/>
        </w:rPr>
        <w:t xml:space="preserve">Employee devices — laptops, workstations, mobile devices (company-owned and BYOD under policy)</w:t>
      </w:r>
    </w:p>
    <w:p>
      <w:pPr>
        <w:pStyle w:val="ListParagraph"/>
        <w:numPr>
          <w:ilvl w:val="0"/>
          <w:numId w:val="2"/>
        </w:numPr>
        <w:spacing w:after="60" w:before="60"/>
      </w:pPr>
      <w:r>
        <w:rPr>
          <w:rFonts w:ascii="Arial" w:cs="Arial" w:eastAsia="Arial" w:hAnsi="Arial"/>
          <w:sz w:val="22"/>
          <w:szCs w:val="22"/>
        </w:rPr>
        <w:t xml:space="preserve">Software development tools — version control systems, CI/CD pipelines, and code repositories</w:t>
      </w:r>
    </w:p>
    <w:p>
      <w:pPr>
        <w:pStyle w:val="ListParagraph"/>
        <w:numPr>
          <w:ilvl w:val="0"/>
          <w:numId w:val="2"/>
        </w:numPr>
        <w:spacing w:after="60" w:before="60"/>
      </w:pPr>
      <w:r>
        <w:rPr>
          <w:rFonts w:ascii="Arial" w:cs="Arial" w:eastAsia="Arial" w:hAnsi="Arial"/>
          <w:sz w:val="22"/>
          <w:szCs w:val="22"/>
        </w:rPr>
        <w:t xml:space="preserve">Communication and collaboration platforms — email, messaging, video conferencing, and project management tools</w:t>
      </w:r>
    </w:p>
    <w:p>
      <w:pPr>
        <w:pStyle w:val="ListParagraph"/>
        <w:numPr>
          <w:ilvl w:val="0"/>
          <w:numId w:val="2"/>
        </w:numPr>
        <w:spacing w:after="60" w:before="60"/>
      </w:pPr>
      <w:r>
        <w:rPr>
          <w:rFonts w:ascii="Arial" w:cs="Arial" w:eastAsia="Arial" w:hAnsi="Arial"/>
          <w:sz w:val="22"/>
          <w:szCs w:val="22"/>
        </w:rPr>
        <w:t xml:space="preserve">Business applications — ERP, CRM, HRMS, accounting software, and productivity suites</w:t>
      </w:r>
    </w:p>
    <w:p>
      <w:pPr>
        <w:pStyle w:val="ListParagraph"/>
        <w:numPr>
          <w:ilvl w:val="0"/>
          <w:numId w:val="2"/>
        </w:numPr>
        <w:spacing w:after="60" w:before="60"/>
      </w:pPr>
      <w:r>
        <w:rPr>
          <w:rFonts w:ascii="Arial" w:cs="Arial" w:eastAsia="Arial" w:hAnsi="Arial"/>
          <w:sz w:val="22"/>
          <w:szCs w:val="22"/>
        </w:rPr>
        <w:t xml:space="preserve">Internal networks and remote access infrastructure — VPN, SD-WAN, and remote desktop environments</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4.1.4 Physical Locations</w:t>
      </w:r>
    </w:p>
    <w:p>
      <w:pPr>
        <w:pStyle w:val="ListParagraph"/>
        <w:numPr>
          <w:ilvl w:val="0"/>
          <w:numId w:val="2"/>
        </w:numPr>
        <w:spacing w:after="60" w:before="60"/>
      </w:pPr>
      <w:r>
        <w:rPr>
          <w:rFonts w:ascii="Arial" w:cs="Arial" w:eastAsia="Arial" w:hAnsi="Arial"/>
          <w:sz w:val="22"/>
          <w:szCs w:val="22"/>
        </w:rPr>
        <w:t xml:space="preserve">Head office — [Address, City, Country]</w:t>
      </w:r>
    </w:p>
    <w:p>
      <w:pPr>
        <w:pStyle w:val="ListParagraph"/>
        <w:numPr>
          <w:ilvl w:val="0"/>
          <w:numId w:val="2"/>
        </w:numPr>
        <w:spacing w:after="60" w:before="60"/>
      </w:pPr>
      <w:r>
        <w:rPr>
          <w:rFonts w:ascii="Arial" w:cs="Arial" w:eastAsia="Arial" w:hAnsi="Arial"/>
          <w:sz w:val="22"/>
          <w:szCs w:val="22"/>
        </w:rPr>
        <w:t xml:space="preserve">All branch offices and satellite locations operated by the Organization</w:t>
      </w:r>
    </w:p>
    <w:p>
      <w:pPr>
        <w:pStyle w:val="ListParagraph"/>
        <w:numPr>
          <w:ilvl w:val="0"/>
          <w:numId w:val="2"/>
        </w:numPr>
        <w:spacing w:after="60" w:before="60"/>
      </w:pPr>
      <w:r>
        <w:rPr>
          <w:rFonts w:ascii="Arial" w:cs="Arial" w:eastAsia="Arial" w:hAnsi="Arial"/>
          <w:sz w:val="22"/>
          <w:szCs w:val="22"/>
        </w:rPr>
        <w:t xml:space="preserve">Home offices and remote working locations used by employees and contractors operating under the Organization's remote working policy</w:t>
      </w:r>
    </w:p>
    <w:p>
      <w:pPr>
        <w:pStyle w:val="ListParagraph"/>
        <w:numPr>
          <w:ilvl w:val="0"/>
          <w:numId w:val="2"/>
        </w:numPr>
        <w:spacing w:after="60" w:before="60"/>
      </w:pPr>
      <w:r>
        <w:rPr>
          <w:rFonts w:ascii="Arial" w:cs="Arial" w:eastAsia="Arial" w:hAnsi="Arial"/>
          <w:sz w:val="22"/>
          <w:szCs w:val="22"/>
        </w:rPr>
        <w:t xml:space="preserve">Third-party data centre facilities where the Organization's systems are co-located or hosted</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4.1.5 Personnel</w:t>
      </w:r>
    </w:p>
    <w:p>
      <w:pPr>
        <w:pStyle w:val="ListParagraph"/>
        <w:numPr>
          <w:ilvl w:val="0"/>
          <w:numId w:val="2"/>
        </w:numPr>
        <w:spacing w:after="60" w:before="60"/>
      </w:pPr>
      <w:r>
        <w:rPr>
          <w:rFonts w:ascii="Arial" w:cs="Arial" w:eastAsia="Arial" w:hAnsi="Arial"/>
          <w:sz w:val="22"/>
          <w:szCs w:val="22"/>
        </w:rPr>
        <w:t xml:space="preserve">All full-time and part-time employees across all roles and seniority levels</w:t>
      </w:r>
    </w:p>
    <w:p>
      <w:pPr>
        <w:pStyle w:val="ListParagraph"/>
        <w:numPr>
          <w:ilvl w:val="0"/>
          <w:numId w:val="2"/>
        </w:numPr>
        <w:spacing w:after="60" w:before="60"/>
      </w:pPr>
      <w:r>
        <w:rPr>
          <w:rFonts w:ascii="Arial" w:cs="Arial" w:eastAsia="Arial" w:hAnsi="Arial"/>
          <w:sz w:val="22"/>
          <w:szCs w:val="22"/>
        </w:rPr>
        <w:t xml:space="preserve">Contractors, consultants, and temporary staff with access to the Organization's systems or information assets</w:t>
      </w:r>
    </w:p>
    <w:p>
      <w:pPr>
        <w:pStyle w:val="ListParagraph"/>
        <w:numPr>
          <w:ilvl w:val="0"/>
          <w:numId w:val="2"/>
        </w:numPr>
        <w:spacing w:after="60" w:before="60"/>
      </w:pPr>
      <w:r>
        <w:rPr>
          <w:rFonts w:ascii="Arial" w:cs="Arial" w:eastAsia="Arial" w:hAnsi="Arial"/>
          <w:sz w:val="22"/>
          <w:szCs w:val="22"/>
        </w:rPr>
        <w:t xml:space="preserve">Third-party personnel with authorized access to systems, facilities, or data under formal agreement</w:t>
      </w:r>
    </w:p>
    <w:p>
      <w:pPr>
        <w:spacing w:after="200" w:before="0"/>
      </w:pPr>
      <w:r>
        <w:t xml:space="preserve"/>
      </w:r>
    </w:p>
    <w:p>
      <w:pPr>
        <w:pStyle w:val="Heading2"/>
        <w:spacing w:after="100" w:before="240"/>
      </w:pPr>
      <w:r>
        <w:rPr>
          <w:rFonts w:ascii="Arial" w:cs="Arial" w:eastAsia="Arial" w:hAnsi="Arial"/>
          <w:b/>
          <w:bCs/>
          <w:color w:val="2E75B6"/>
          <w:sz w:val="24"/>
          <w:szCs w:val="24"/>
        </w:rPr>
        <w:t xml:space="preserve">4.2 Scope Exclusions</w:t>
      </w:r>
    </w:p>
    <w:p>
      <w:pPr>
        <w:spacing w:after="80" w:before="80"/>
      </w:pPr>
      <w:r>
        <w:rPr>
          <w:rFonts w:ascii="Arial" w:cs="Arial" w:eastAsia="Arial" w:hAnsi="Arial"/>
          <w:sz w:val="22"/>
          <w:szCs w:val="22"/>
        </w:rPr>
        <w:t xml:space="preserve">The following are explicitly excluded from the ISMS scope, with documented justification: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Exclusion</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Clause Reference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Subsidiary companies operating under separate management systems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Subsidiaries maintain independent governance structures and are not subject to the Organization's ISMS controls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ISO 27001:2022 Cl.4.3 — scope boundary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Personal devices used exclusively for personal purposes (not BYOD-registered)</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Personal devices not accessing Organization systems or data fall outside IS risk boundary</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ISO 27001:2022 Cl.4.3 — scope boundary</w:t>
            </w:r>
          </w:p>
        </w:tc>
      </w:tr>
    </w:tbl>
    <w:p>
      <w:pPr>
        <w:spacing w:after="100" w:before="0"/>
      </w:pPr>
      <w:r>
        <w:t xml:space="preserve"/>
      </w:r>
    </w:p>
    <w:p>
      <w:pPr>
        <w:spacing w:after="80" w:before="80"/>
      </w:pPr>
      <w:r>
        <w:rPr>
          <w:rFonts w:ascii="Arial" w:cs="Arial" w:eastAsia="Arial" w:hAnsi="Arial"/>
          <w:i/>
          <w:iCs/>
          <w:color w:val="555555"/>
          <w:sz w:val="22"/>
          <w:szCs w:val="22"/>
        </w:rPr>
        <w:t xml:space="preserve">Note: All exclusions have been reviewed and confirmed to not affect the Organization's ability or responsibility to provide conforming information security management. Exclusions are recorded in the Statement of Applicability (ISMS-SOA-001).</w:t>
      </w:r>
    </w:p>
    <w:p>
      <w:pPr>
        <w:spacing w:after="200" w:before="0"/>
      </w:pPr>
      <w:r>
        <w:t xml:space="preserve"/>
      </w:r>
    </w:p>
    <w:p>
      <w:pPr>
        <w:pStyle w:val="Heading1"/>
        <w:spacing w:after="160" w:before="320"/>
      </w:pPr>
      <w:r>
        <w:rPr>
          <w:rFonts w:ascii="Arial" w:cs="Arial" w:eastAsia="Arial" w:hAnsi="Arial"/>
          <w:b/>
          <w:bCs/>
          <w:color w:val="1F3864"/>
          <w:sz w:val="28"/>
          <w:szCs w:val="28"/>
        </w:rPr>
        <w:t xml:space="preserve">5. Interfaces and Dependencies (Clause 4.3)</w:t>
      </w:r>
    </w:p>
    <w:p>
      <w:pPr>
        <w:spacing w:after="80" w:before="80"/>
      </w:pPr>
      <w:r>
        <w:rPr>
          <w:rFonts w:ascii="Arial" w:cs="Arial" w:eastAsia="Arial" w:hAnsi="Arial"/>
          <w:sz w:val="22"/>
          <w:szCs w:val="22"/>
        </w:rPr>
        <w:t xml:space="preserve">The following interfaces with external parties and systems are recognized within the ISMS scope. Each interface represents a potential information security boundary that must be controlled and monitored: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 / Dependency</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 Reference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Cloud Service Providers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IaaS/PaaS/SaaS providers hosting Organization or client data and systems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A.5.23, A.5.19–5.22</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Software Supply Chain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Open-source libraries, third-party APIs, and commercial software integrated into products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A.5.22, A.8.28</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 Organizations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exchange, API integration, and system access for service delivery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A.5.19–5.20, A.8.20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HR &amp; Recruitment Agencies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Candidate and employee personal data processed under formal data processing agreements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A.6.1, A.5.19</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&amp; Finance Vendors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Financial transaction processing, payroll systems, and banking interfaces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A.5.19, A.8.24</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Remote Access Services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VPN, remote desktop, and cloud access used by employees working off-site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A.6.7, A.8.20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Regulatory Authorities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Compliance reporting obligations and regulatory information exchange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A.5.31, A.5.36</w:t>
            </w:r>
          </w:p>
        </w:tc>
      </w:tr>
    </w:tbl>
    <w:p>
      <w:pPr>
        <w:spacing w:after="200" w:before="0"/>
      </w:pPr>
      <w:r>
        <w:t xml:space="preserve"/>
      </w:r>
    </w:p>
    <w:p>
      <w:pPr>
        <w:pStyle w:val="Heading1"/>
        <w:spacing w:after="160" w:before="320"/>
      </w:pPr>
      <w:r>
        <w:rPr>
          <w:rFonts w:ascii="Arial" w:cs="Arial" w:eastAsia="Arial" w:hAnsi="Arial"/>
          <w:b/>
          <w:bCs/>
          <w:color w:val="1F3864"/>
          <w:sz w:val="28"/>
          <w:szCs w:val="28"/>
        </w:rPr>
        <w:t xml:space="preserve">6. ISMS Roles and Responsibilities</w:t>
      </w:r>
    </w:p>
    <w:p>
      <w:pPr>
        <w:spacing w:after="80" w:before="80"/>
      </w:pPr>
      <w:r>
        <w:rPr>
          <w:rFonts w:ascii="Arial" w:cs="Arial" w:eastAsia="Arial" w:hAnsi="Arial"/>
          <w:sz w:val="22"/>
          <w:szCs w:val="22"/>
        </w:rPr>
        <w:t xml:space="preserve">The following roles bear defined responsibilities in relation to the ISMS scope: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ISMS Responsibility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CEO / Top Management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Approve and endorse the ISMS scope; demonstrate leadership commitment; ensure adequate resources for ISMS operation (Clause 5.1)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CISO / IS Manager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Maintain and update the ISMS scope document; ensure scope boundaries are communicated; lead scope review activities (Clause 5.3)</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 Heads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Ensure all personnel and assets within their function comply with ISMS requirements within scope (Clause 5.3)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IT / Infrastructure Manager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Maintain inventory of in-scope technology assets; implement and monitor technical controls within scope (Clause 8.1)</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HR Manager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Ensure all in-scope personnel are subject to IS screening, training, and contractual IS obligations (Clause 7.2, A.6.1–6.3)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Legal &amp; Compliance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Identify applicable regulatory obligations affecting scope; ensure contractual IS requirements are captured (Clause 4.2)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All Employees &amp; Contractors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Comply with ISMS policies and procedures applicable within scope; report information security events (Clause 7.3, A.6.3)</w:t>
            </w:r>
          </w:p>
        </w:tc>
      </w:tr>
    </w:tbl>
    <w:p>
      <w:pPr>
        <w:spacing w:after="200" w:before="0"/>
      </w:pPr>
      <w:r>
        <w:t xml:space="preserve"/>
      </w:r>
    </w:p>
    <w:p>
      <w:pPr>
        <w:pStyle w:val="Heading1"/>
        <w:spacing w:after="160" w:before="320"/>
      </w:pPr>
      <w:r>
        <w:rPr>
          <w:rFonts w:ascii="Arial" w:cs="Arial" w:eastAsia="Arial" w:hAnsi="Arial"/>
          <w:b/>
          <w:bCs/>
          <w:color w:val="1F3864"/>
          <w:sz w:val="28"/>
          <w:szCs w:val="28"/>
        </w:rPr>
        <w:t xml:space="preserve">7. Scope Review and Maintenance</w:t>
      </w:r>
    </w:p>
    <w:p>
      <w:pPr>
        <w:spacing w:after="80" w:before="80"/>
      </w:pPr>
      <w:r>
        <w:rPr>
          <w:rFonts w:ascii="Arial" w:cs="Arial" w:eastAsia="Arial" w:hAnsi="Arial"/>
          <w:sz w:val="22"/>
          <w:szCs w:val="22"/>
        </w:rPr>
        <w:t xml:space="preserve">The ISMS scope shall be reviewed and updated in accordance with the following schedule and triggers:</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7.1 Scheduled Review</w:t>
      </w:r>
    </w:p>
    <w:p>
      <w:pPr>
        <w:pStyle w:val="ListParagraph"/>
        <w:numPr>
          <w:ilvl w:val="0"/>
          <w:numId w:val="2"/>
        </w:numPr>
        <w:spacing w:after="60" w:before="60"/>
      </w:pPr>
      <w:r>
        <w:rPr>
          <w:rFonts w:ascii="Arial" w:cs="Arial" w:eastAsia="Arial" w:hAnsi="Arial"/>
          <w:sz w:val="22"/>
          <w:szCs w:val="22"/>
        </w:rPr>
        <w:t xml:space="preserve">The ISMS scope shall be formally reviewed at least annually as part of the Management Review process (ISO 27001:2022 Clause 9.3)</w:t>
      </w:r>
    </w:p>
    <w:p>
      <w:pPr>
        <w:pStyle w:val="ListParagraph"/>
        <w:numPr>
          <w:ilvl w:val="0"/>
          <w:numId w:val="2"/>
        </w:numPr>
        <w:spacing w:after="60" w:before="60"/>
      </w:pPr>
      <w:r>
        <w:rPr>
          <w:rFonts w:ascii="Arial" w:cs="Arial" w:eastAsia="Arial" w:hAnsi="Arial"/>
          <w:sz w:val="22"/>
          <w:szCs w:val="22"/>
        </w:rPr>
        <w:t xml:space="preserve">The next scheduled review date is: 2 May 2027</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7.2 Triggered Review Events</w:t>
      </w:r>
    </w:p>
    <w:p>
      <w:pPr>
        <w:spacing w:after="80" w:before="80"/>
      </w:pPr>
      <w:r>
        <w:rPr>
          <w:rFonts w:ascii="Arial" w:cs="Arial" w:eastAsia="Arial" w:hAnsi="Arial"/>
          <w:sz w:val="22"/>
          <w:szCs w:val="22"/>
        </w:rPr>
        <w:t xml:space="preserve">An unscheduled scope review shall be initiated upon occurrence of any of the following:</w:t>
      </w:r>
    </w:p>
    <w:p>
      <w:pPr>
        <w:pStyle w:val="ListParagraph"/>
        <w:numPr>
          <w:ilvl w:val="0"/>
          <w:numId w:val="2"/>
        </w:numPr>
        <w:spacing w:after="60" w:before="60"/>
      </w:pPr>
      <w:r>
        <w:rPr>
          <w:rFonts w:ascii="Arial" w:cs="Arial" w:eastAsia="Arial" w:hAnsi="Arial"/>
          <w:sz w:val="22"/>
          <w:szCs w:val="22"/>
        </w:rPr>
        <w:t xml:space="preserve">Significant organizational changes — mergers, acquisitions, restructuring, or new business lines</w:t>
      </w:r>
    </w:p>
    <w:p>
      <w:pPr>
        <w:pStyle w:val="ListParagraph"/>
        <w:numPr>
          <w:ilvl w:val="0"/>
          <w:numId w:val="2"/>
        </w:numPr>
        <w:spacing w:after="60" w:before="60"/>
      </w:pPr>
      <w:r>
        <w:rPr>
          <w:rFonts w:ascii="Arial" w:cs="Arial" w:eastAsia="Arial" w:hAnsi="Arial"/>
          <w:sz w:val="22"/>
          <w:szCs w:val="22"/>
        </w:rPr>
        <w:t xml:space="preserve">New geographic locations, offices, or remote working arrangements</w:t>
      </w:r>
    </w:p>
    <w:p>
      <w:pPr>
        <w:pStyle w:val="ListParagraph"/>
        <w:numPr>
          <w:ilvl w:val="0"/>
          <w:numId w:val="2"/>
        </w:numPr>
        <w:spacing w:after="60" w:before="60"/>
      </w:pPr>
      <w:r>
        <w:rPr>
          <w:rFonts w:ascii="Arial" w:cs="Arial" w:eastAsia="Arial" w:hAnsi="Arial"/>
          <w:sz w:val="22"/>
          <w:szCs w:val="22"/>
        </w:rPr>
        <w:t xml:space="preserve">Introduction of new technology systems, platforms, or cloud services that process organizational information</w:t>
      </w:r>
    </w:p>
    <w:p>
      <w:pPr>
        <w:pStyle w:val="ListParagraph"/>
        <w:numPr>
          <w:ilvl w:val="0"/>
          <w:numId w:val="2"/>
        </w:numPr>
        <w:spacing w:after="60" w:before="60"/>
      </w:pPr>
      <w:r>
        <w:rPr>
          <w:rFonts w:ascii="Arial" w:cs="Arial" w:eastAsia="Arial" w:hAnsi="Arial"/>
          <w:sz w:val="22"/>
          <w:szCs w:val="22"/>
        </w:rPr>
        <w:t xml:space="preserve">Changes to the regulatory or legal environment that affect information security obligations</w:t>
      </w:r>
    </w:p>
    <w:p>
      <w:pPr>
        <w:pStyle w:val="ListParagraph"/>
        <w:numPr>
          <w:ilvl w:val="0"/>
          <w:numId w:val="2"/>
        </w:numPr>
        <w:spacing w:after="60" w:before="60"/>
      </w:pPr>
      <w:r>
        <w:rPr>
          <w:rFonts w:ascii="Arial" w:cs="Arial" w:eastAsia="Arial" w:hAnsi="Arial"/>
          <w:sz w:val="22"/>
          <w:szCs w:val="22"/>
        </w:rPr>
        <w:t xml:space="preserve">Significant changes to client contracts or third-party relationships</w:t>
      </w:r>
    </w:p>
    <w:p>
      <w:pPr>
        <w:pStyle w:val="ListParagraph"/>
        <w:numPr>
          <w:ilvl w:val="0"/>
          <w:numId w:val="2"/>
        </w:numPr>
        <w:spacing w:after="60" w:before="60"/>
      </w:pPr>
      <w:r>
        <w:rPr>
          <w:rFonts w:ascii="Arial" w:cs="Arial" w:eastAsia="Arial" w:hAnsi="Arial"/>
          <w:sz w:val="22"/>
          <w:szCs w:val="22"/>
        </w:rPr>
        <w:t xml:space="preserve">Material changes to the threat environment or a significant information security incident</w:t>
      </w:r>
    </w:p>
    <w:p>
      <w:pPr>
        <w:pStyle w:val="ListParagraph"/>
        <w:numPr>
          <w:ilvl w:val="0"/>
          <w:numId w:val="2"/>
        </w:numPr>
        <w:spacing w:after="60" w:before="60"/>
      </w:pPr>
      <w:r>
        <w:rPr>
          <w:rFonts w:ascii="Arial" w:cs="Arial" w:eastAsia="Arial" w:hAnsi="Arial"/>
          <w:sz w:val="22"/>
          <w:szCs w:val="22"/>
        </w:rPr>
        <w:t xml:space="preserve">Feedback from internal or external audits indicating scope inadequacy</w:t>
      </w:r>
    </w:p>
    <w:p>
      <w:pPr>
        <w:spacing w:after="100" w:before="0"/>
      </w:pPr>
      <w:r>
        <w:t xml:space="preserve"/>
      </w:r>
    </w:p>
    <w:p>
      <w:pPr>
        <w:pStyle w:val="Heading2"/>
        <w:spacing w:after="100" w:before="240"/>
      </w:pPr>
      <w:r>
        <w:rPr>
          <w:rFonts w:ascii="Arial" w:cs="Arial" w:eastAsia="Arial" w:hAnsi="Arial"/>
          <w:b/>
          <w:bCs/>
          <w:color w:val="2E75B6"/>
          <w:sz w:val="24"/>
          <w:szCs w:val="24"/>
        </w:rPr>
        <w:t xml:space="preserve">7.3 Scope Change Process</w:t>
      </w:r>
    </w:p>
    <w:p>
      <w:pPr>
        <w:spacing w:after="80" w:before="80"/>
      </w:pPr>
      <w:r>
        <w:rPr>
          <w:rFonts w:ascii="Arial" w:cs="Arial" w:eastAsia="Arial" w:hAnsi="Arial"/>
          <w:sz w:val="22"/>
          <w:szCs w:val="22"/>
        </w:rPr>
        <w:t xml:space="preserve">Any proposed change to the ISMS scope shall follow this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700"/>
        <w:gridCol w:w="2660"/>
      </w:tblGrid>
      <w:tr>
        <w:trPr>
          <w:tblHeader/>
        </w:trPr>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2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Identify — Identify proposed change and business rationale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 Manager / Requestor</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Change request</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Assess — Assess IS risk impact of the proposed scope change</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IS Manager + affected dept</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Risk impact assessment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Approve — Review and approve proposed scope change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CISO / Top Management</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Approval record</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Update — Update this document, SoA, and related IS documentation</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IS Manager</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Revised scope document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Communicate — Communicate scope change to all affected parties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 Manager / HR</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Awareness record</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Verify — Verify controls are in place for newly in-scope elements</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IS Manager / IT Manager</w:t>
            </w:r>
          </w:p>
        </w:tc>
        <w:tc>
          <w:tcPr>
            <w:tcW w:type="dxa" w:w="2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Control verification log</w:t>
            </w:r>
          </w:p>
        </w:tc>
      </w:tr>
    </w:tbl>
    <w:p>
      <w:pPr>
        <w:spacing w:after="200" w:before="0"/>
      </w:pPr>
      <w:r>
        <w:t xml:space="preserve"/>
      </w:r>
    </w:p>
    <w:p>
      <w:pPr>
        <w:pStyle w:val="Heading1"/>
        <w:spacing w:after="160" w:before="320"/>
      </w:pPr>
      <w:r>
        <w:rPr>
          <w:rFonts w:ascii="Arial" w:cs="Arial" w:eastAsia="Arial" w:hAnsi="Arial"/>
          <w:b/>
          <w:bCs/>
          <w:color w:val="1F3864"/>
          <w:sz w:val="28"/>
          <w:szCs w:val="28"/>
        </w:rPr>
        <w:t xml:space="preserve">8.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ISO/IEC 27001:2022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 cybersecurity and privacy protection — Information security management systems — Requirements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ISO/IEC 27002:2022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 cybersecurity and privacy protection — Information security controls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ISMS-POL-001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 Policy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ISMS-SOA-001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Statement of Applicability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ISMS-RSK-001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Risk Assessment and Risk Treatment Plan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ISMS-AUP-001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Acceptable Use Policy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ISMS-HRS-001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Human Resources Security Policy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ISMS-SUP-001</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Supplier Security Policy</w:t>
            </w:r>
          </w:p>
        </w:tc>
      </w:tr>
    </w:tbl>
    <w:p>
      <w:pPr>
        <w:spacing w:after="200" w:before="0"/>
      </w:pPr>
      <w:r>
        <w:t xml:space="preserve"/>
      </w:r>
    </w:p>
    <w:p>
      <w:pPr>
        <w:spacing w:after="80" w:before="80"/>
      </w:pPr>
      <w:r>
        <w:rPr>
          <w:rFonts w:ascii="Arial" w:cs="Arial" w:eastAsia="Arial" w:hAnsi="Arial"/>
          <w:b/>
          <w:bCs/>
          <w:sz w:val="22"/>
          <w:szCs w:val="22"/>
        </w:rPr>
        <w:t xml:space="preserve">This document is approved and effective as of 2 May 2026.</w:t>
      </w:r>
    </w:p>
    <w:p>
      <w:pPr>
        <w:spacing w:after="100" w:before="0"/>
      </w:pPr>
      <w:r>
        <w:t xml:space="preserve"/>
      </w:r>
    </w:p>
    <w:p>
      <w:pPr>
        <w:spacing w:after="80" w:before="80"/>
      </w:pPr>
      <w:r>
        <w:rPr>
          <w:rFonts w:ascii="Arial" w:cs="Arial" w:eastAsia="Arial" w:hAnsi="Arial"/>
          <w:sz w:val="22"/>
          <w:szCs w:val="22"/>
        </w:rPr>
        <w:t xml:space="preserve">Approved by: ___________________________     Date: _______________</w:t>
      </w:r>
    </w:p>
    <w:p>
      <w:pPr>
        <w:spacing w:after="80" w:before="80"/>
      </w:pPr>
      <w:r>
        <w:rPr>
          <w:rFonts w:ascii="Arial" w:cs="Arial" w:eastAsia="Arial" w:hAnsi="Arial"/>
          <w:sz w:val="22"/>
          <w:szCs w:val="22"/>
        </w:rPr>
        <w:t xml:space="preserve">Name:        ___________________________     Title: ______________</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pPr>
    <w:r>
      <w:rPr>
        <w:rFonts w:ascii="Arial" w:cs="Arial" w:eastAsia="Arial" w:hAnsi="Arial"/>
        <w:color w:val="777777"/>
        <w:sz w:val="18"/>
        <w:szCs w:val="18"/>
      </w:rPr>
      <w:t xml:space="preserve">ISMS-SCO-001  |  [Organization Name] Co., Ltd.  |  INTERNAL</w:t>
    </w:r>
    <w:r>
      <w:rPr>
        <w:rFonts w:ascii="Arial" w:cs="Arial" w:eastAsia="Arial" w:hAnsi="Arial"/>
        <w:color w:val="777777"/>
        <w:sz w:val="18"/>
        <w:szCs w:val="18"/>
      </w:rPr>
      <w:t xml:space="preserv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2026-05-02T15:27:58.448Z</dcterms:created>
  <dcterms:modified xsi:type="dcterms:W3CDTF">2026-05-02T15:27:58.449Z</dcterms:modified>
</cp:coreProperties>
</file>

<file path=docProps/custom.xml><?xml version="1.0" encoding="utf-8"?>
<Properties xmlns="http://schemas.openxmlformats.org/officeDocument/2006/custom-properties" xmlns:vt="http://schemas.openxmlformats.org/officeDocument/2006/docPropsVTypes"/>
</file>