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30" w:before="0"/>
      </w:pPr>
      <w:r>
        <w:t xml:space="preserve"/>
      </w:r>
    </w:p>
    <w:p>
      <w:pPr>
        <w:spacing w:after="120" w:before="0"/>
        <w:jc w:val="center"/>
      </w:pPr>
      <w:r>
        <w:rPr>
          <w:rFonts w:ascii="Arial" w:cs="Arial" w:eastAsia="Arial" w:hAnsi="Arial"/>
          <w:b/>
          <w:bCs/>
          <w:color w:val="1F3864"/>
          <w:sz w:val="28"/>
          <w:szCs w:val="28"/>
        </w:rPr>
        <w:t xml:space="preserve">INFORMATION SECURITY MANAGEMENT SYSTEM</w:t>
      </w:r>
    </w:p>
    <w:p>
      <w:pPr>
        <w:spacing w:after="600" w:before="0"/>
        <w:jc w:val="center"/>
      </w:pPr>
      <w:r>
        <w:rPr>
          <w:rFonts w:ascii="Arial" w:cs="Arial" w:eastAsia="Arial" w:hAnsi="Arial"/>
          <w:b/>
          <w:bCs/>
          <w:color w:val="2E75B6"/>
          <w:sz w:val="56"/>
          <w:szCs w:val="56"/>
        </w:rPr>
        <w:t xml:space="preserve">Information Security Policy</w:t>
      </w:r>
    </w:p>
    <w:p>
      <w:pPr>
        <w:pBdr>
          <w:bottom w:val="single" w:color="2E75B6" w:sz="6"/>
        </w:pBdr>
        <w:spacing w:after="500" w:before="0"/>
        <w:jc w:val="center"/>
      </w:pPr>
      <w:r>
        <w:t xml:space="preserve"/>
      </w:r>
    </w:p>
    <w:p>
      <w:pPr>
        <w:spacing w:after="180" w:before="0"/>
      </w:pPr>
      <w:r>
        <w:t xml:space="preserve"/>
      </w:r>
    </w:p>
    <w:p>
      <w:pPr>
        <w:spacing w:after="100" w:before="0"/>
        <w:jc w:val="center"/>
      </w:pPr>
      <w:r>
        <w:rPr>
          <w:rFonts w:ascii="Arial" w:cs="Arial" w:eastAsia="Arial" w:hAnsi="Arial"/>
          <w:b/>
          <w:bCs/>
          <w:color w:val="1F3864"/>
          <w:sz w:val="28"/>
          <w:szCs w:val="28"/>
        </w:rPr>
        <w:t xml:space="preserve">[Organization Name] Co., Ltd.</w:t>
      </w:r>
    </w:p>
    <w:p>
      <w:pPr>
        <w:spacing w:after="100" w:before="0"/>
        <w:jc w:val="center"/>
      </w:pPr>
      <w:r>
        <w:rPr>
          <w:rFonts w:ascii="Arial" w:cs="Arial" w:eastAsia="Arial" w:hAnsi="Arial"/>
          <w:color w:val="555555"/>
          <w:sz w:val="22"/>
          <w:szCs w:val="22"/>
        </w:rPr>
        <w:t xml:space="preserve">Document Reference: ISMS-POL-001</w:t>
      </w:r>
    </w:p>
    <w:p>
      <w:pPr>
        <w:spacing w:after="100" w:before="0"/>
        <w:jc w:val="center"/>
      </w:pPr>
      <w:r>
        <w:rPr>
          <w:rFonts w:ascii="Arial" w:cs="Arial" w:eastAsia="Arial" w:hAnsi="Arial"/>
          <w:color w:val="555555"/>
          <w:sz w:val="22"/>
          <w:szCs w:val="22"/>
        </w:rPr>
        <w:t xml:space="preserve">Version 1.0  |  3 May 2026</w:t>
      </w:r>
    </w:p>
    <w:p>
      <w:pPr>
        <w:spacing w:after="100" w:before="0"/>
        <w:jc w:val="center"/>
      </w:pPr>
      <w:r>
        <w:rPr>
          <w:rFonts w:ascii="Arial" w:cs="Arial" w:eastAsia="Arial" w:hAnsi="Arial"/>
          <w:b/>
          <w:bCs/>
          <w:color w:val="C00000"/>
          <w:sz w:val="22"/>
          <w:szCs w:val="22"/>
        </w:rPr>
        <w:t xml:space="preserve">CLASSIFICATION: INTERNAL</w:t>
      </w:r>
    </w:p>
    <w:p>
      <w:pPr>
        <w:spacing w:after="450" w:before="0"/>
      </w:pPr>
      <w:r>
        <w:t xml:space="preserve"/>
      </w:r>
    </w:p>
    <w:p>
      <w:pPr>
        <w:spacing w:after="80" w:before="0"/>
        <w:jc w:val="center"/>
      </w:pPr>
      <w:r>
        <w:rPr>
          <w:rFonts w:ascii="Arial" w:cs="Arial" w:eastAsia="Arial" w:hAnsi="Arial"/>
          <w:color w:val="777777"/>
          <w:sz w:val="20"/>
          <w:szCs w:val="20"/>
        </w:rPr>
        <w:t xml:space="preserve">ISO/IEC 27001:2022 — Clause 5.2 &amp; Control A.5.1</w:t>
      </w:r>
    </w:p>
    <w:p>
      <w:pPr>
        <w:pageBreakBefore/>
      </w:pPr>
      <w:r>
        <w:t xml:space="preserve"/>
      </w:r>
    </w:p>
    <w:p>
      <w:pPr>
        <w:pStyle w:val="Heading1"/>
        <w:spacing w:after="140" w:before="280"/>
      </w:pPr>
      <w:r>
        <w:rPr>
          <w:rFonts w:ascii="Arial" w:cs="Arial" w:eastAsia="Arial" w:hAnsi="Arial"/>
          <w:b/>
          <w:bCs/>
          <w:color w:val="1F3864"/>
          <w:sz w:val="28"/>
          <w:szCs w:val="28"/>
        </w:rPr>
        <w:t xml:space="preserve">1. Document Control</w:t>
      </w:r>
    </w:p>
    <w:p>
      <w:pPr>
        <w:spacing w:after="9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b/>
                <w:bCs/>
                <w:sz w:val="20"/>
                <w:szCs w:val="20"/>
              </w:rPr>
              <w:t xml:space="preserve">Document Title</w:t>
            </w:r>
          </w:p>
        </w:tc>
        <w:tc>
          <w:tcPr>
            <w:tcW w:type="dxa" w:w="67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Information Security Policy</w:t>
            </w:r>
          </w:p>
        </w:tc>
      </w:tr>
      <w:tr>
        <w:tc>
          <w:tcPr>
            <w:tcW w:type="dxa" w:w="26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b/>
                <w:bCs/>
                <w:sz w:val="20"/>
                <w:szCs w:val="20"/>
              </w:rPr>
              <w:t xml:space="preserve">Document Reference</w:t>
            </w:r>
          </w:p>
        </w:tc>
        <w:tc>
          <w:tcPr>
            <w:tcW w:type="dxa" w:w="67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ISMS-POL-001</w:t>
            </w:r>
          </w:p>
        </w:tc>
      </w:tr>
      <w:tr>
        <w:tc>
          <w:tcPr>
            <w:tcW w:type="dxa" w:w="26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b/>
                <w:bCs/>
                <w:sz w:val="20"/>
                <w:szCs w:val="20"/>
              </w:rPr>
              <w:t xml:space="preserve">Version</w:t>
            </w:r>
          </w:p>
        </w:tc>
        <w:tc>
          <w:tcPr>
            <w:tcW w:type="dxa" w:w="67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1.0</w:t>
            </w:r>
          </w:p>
        </w:tc>
      </w:tr>
      <w:tr>
        <w:tc>
          <w:tcPr>
            <w:tcW w:type="dxa" w:w="26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b/>
                <w:bCs/>
                <w:sz w:val="20"/>
                <w:szCs w:val="20"/>
              </w:rPr>
              <w:t xml:space="preserve">Status</w:t>
            </w:r>
          </w:p>
        </w:tc>
        <w:tc>
          <w:tcPr>
            <w:tcW w:type="dxa" w:w="67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Approved</w:t>
            </w:r>
          </w:p>
        </w:tc>
      </w:tr>
      <w:tr>
        <w:tc>
          <w:tcPr>
            <w:tcW w:type="dxa" w:w="26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b/>
                <w:bCs/>
                <w:sz w:val="20"/>
                <w:szCs w:val="20"/>
              </w:rPr>
              <w:t xml:space="preserve">Classification</w:t>
            </w:r>
          </w:p>
        </w:tc>
        <w:tc>
          <w:tcPr>
            <w:tcW w:type="dxa" w:w="67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Internal</w:t>
            </w:r>
          </w:p>
        </w:tc>
      </w:tr>
      <w:tr>
        <w:tc>
          <w:tcPr>
            <w:tcW w:type="dxa" w:w="26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b/>
                <w:bCs/>
                <w:sz w:val="20"/>
                <w:szCs w:val="20"/>
              </w:rPr>
              <w:t xml:space="preserve">Author</w:t>
            </w:r>
          </w:p>
        </w:tc>
        <w:tc>
          <w:tcPr>
            <w:tcW w:type="dxa" w:w="67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Information Security Manager</w:t>
            </w:r>
          </w:p>
        </w:tc>
      </w:tr>
      <w:tr>
        <w:tc>
          <w:tcPr>
            <w:tcW w:type="dxa" w:w="26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b/>
                <w:bCs/>
                <w:sz w:val="20"/>
                <w:szCs w:val="20"/>
              </w:rPr>
              <w:t xml:space="preserve">Approved By</w:t>
            </w:r>
          </w:p>
        </w:tc>
        <w:tc>
          <w:tcPr>
            <w:tcW w:type="dxa" w:w="67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Chief Executive Officer</w:t>
            </w:r>
          </w:p>
        </w:tc>
      </w:tr>
      <w:tr>
        <w:tc>
          <w:tcPr>
            <w:tcW w:type="dxa" w:w="26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b/>
                <w:bCs/>
                <w:sz w:val="20"/>
                <w:szCs w:val="20"/>
              </w:rPr>
              <w:t xml:space="preserve">Date of Issue</w:t>
            </w:r>
          </w:p>
        </w:tc>
        <w:tc>
          <w:tcPr>
            <w:tcW w:type="dxa" w:w="67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3 May 2026</w:t>
            </w:r>
          </w:p>
        </w:tc>
      </w:tr>
      <w:tr>
        <w:tc>
          <w:tcPr>
            <w:tcW w:type="dxa" w:w="26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b/>
                <w:bCs/>
                <w:sz w:val="20"/>
                <w:szCs w:val="20"/>
              </w:rPr>
              <w:t xml:space="preserve">Next Review Date</w:t>
            </w:r>
          </w:p>
        </w:tc>
        <w:tc>
          <w:tcPr>
            <w:tcW w:type="dxa" w:w="67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3 May 2027</w:t>
            </w:r>
          </w:p>
        </w:tc>
      </w:tr>
      <w:tr>
        <w:tc>
          <w:tcPr>
            <w:tcW w:type="dxa" w:w="26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b/>
                <w:bCs/>
                <w:sz w:val="20"/>
                <w:szCs w:val="20"/>
              </w:rPr>
              <w:t xml:space="preserve">ISO 27001 Clause</w:t>
            </w:r>
          </w:p>
        </w:tc>
        <w:tc>
          <w:tcPr>
            <w:tcW w:type="dxa" w:w="67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Clause 5.2 — Information security policy</w:t>
            </w:r>
          </w:p>
        </w:tc>
      </w:tr>
      <w:tr>
        <w:tc>
          <w:tcPr>
            <w:tcW w:type="dxa" w:w="26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b/>
                <w:bCs/>
                <w:sz w:val="20"/>
                <w:szCs w:val="20"/>
              </w:rPr>
              <w:t xml:space="preserve">Related Control</w:t>
            </w:r>
          </w:p>
        </w:tc>
        <w:tc>
          <w:tcPr>
            <w:tcW w:type="dxa" w:w="67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A.5.1 — Policies for information security</w:t>
            </w:r>
          </w:p>
        </w:tc>
      </w:tr>
    </w:tbl>
    <w:p>
      <w:pPr>
        <w:spacing w:after="180" w:before="0"/>
      </w:pPr>
      <w:r>
        <w:t xml:space="preserve"/>
      </w:r>
    </w:p>
    <w:p>
      <w:pPr>
        <w:pStyle w:val="Heading2"/>
        <w:spacing w:after="100" w:before="200"/>
      </w:pPr>
      <w:r>
        <w:rPr>
          <w:rFonts w:ascii="Arial" w:cs="Arial" w:eastAsia="Arial" w:hAnsi="Arial"/>
          <w:b/>
          <w:bCs/>
          <w:color w:val="2E75B6"/>
          <w:sz w:val="24"/>
          <w:szCs w:val="24"/>
        </w:rPr>
        <w:t xml:space="preserve">1.1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3760"/>
        <w:gridCol w:w="2600"/>
      </w:tblGrid>
      <w:tr>
        <w:trPr>
          <w:tblHeader/>
        </w:trPr>
        <w:tc>
          <w:tcPr>
            <w:tcW w:type="dxa" w:w="1300"/>
            <w:tcBorders>
              <w:top w:val="single" w:color="AAAAAA" w:sz="1"/>
              <w:left w:val="single" w:color="AAAAAA" w:sz="1"/>
              <w:bottom w:val="single" w:color="AAAAAA" w:sz="1"/>
              <w:right w:val="single" w:color="AAAAAA" w:sz="1"/>
            </w:tcBorders>
            <w:shd w:fill="2E75B6" w:val="clear"/>
            <w:tcMar>
              <w:top w:type="dxa" w:w="70"/>
              <w:left w:type="dxa" w:w="110"/>
              <w:bottom w:type="dxa" w:w="70"/>
              <w:right w:type="dxa" w:w="110"/>
            </w:tcMar>
          </w:tcPr>
          <w:p>
            <w:r>
              <w:rPr>
                <w:rFonts w:ascii="Arial" w:cs="Arial" w:eastAsia="Arial" w:hAnsi="Arial"/>
                <w:b/>
                <w:bCs/>
                <w:color w:val="FFFFFF"/>
                <w:sz w:val="20"/>
                <w:szCs w:val="20"/>
              </w:rPr>
              <w:t xml:space="preserve">Version</w:t>
            </w:r>
          </w:p>
        </w:tc>
        <w:tc>
          <w:tcPr>
            <w:tcW w:type="dxa" w:w="1700"/>
            <w:tcBorders>
              <w:top w:val="single" w:color="AAAAAA" w:sz="1"/>
              <w:left w:val="single" w:color="AAAAAA" w:sz="1"/>
              <w:bottom w:val="single" w:color="AAAAAA" w:sz="1"/>
              <w:right w:val="single" w:color="AAAAAA" w:sz="1"/>
            </w:tcBorders>
            <w:shd w:fill="2E75B6" w:val="clear"/>
            <w:tcMar>
              <w:top w:type="dxa" w:w="70"/>
              <w:left w:type="dxa" w:w="110"/>
              <w:bottom w:type="dxa" w:w="70"/>
              <w:right w:type="dxa" w:w="110"/>
            </w:tcMar>
          </w:tcPr>
          <w:p>
            <w:r>
              <w:rPr>
                <w:rFonts w:ascii="Arial" w:cs="Arial" w:eastAsia="Arial" w:hAnsi="Arial"/>
                <w:b/>
                <w:bCs/>
                <w:color w:val="FFFFFF"/>
                <w:sz w:val="20"/>
                <w:szCs w:val="20"/>
              </w:rPr>
              <w:t xml:space="preserve">Date</w:t>
            </w:r>
          </w:p>
        </w:tc>
        <w:tc>
          <w:tcPr>
            <w:tcW w:type="dxa" w:w="3760"/>
            <w:tcBorders>
              <w:top w:val="single" w:color="AAAAAA" w:sz="1"/>
              <w:left w:val="single" w:color="AAAAAA" w:sz="1"/>
              <w:bottom w:val="single" w:color="AAAAAA" w:sz="1"/>
              <w:right w:val="single" w:color="AAAAAA" w:sz="1"/>
            </w:tcBorders>
            <w:shd w:fill="2E75B6" w:val="clear"/>
            <w:tcMar>
              <w:top w:type="dxa" w:w="70"/>
              <w:left w:type="dxa" w:w="110"/>
              <w:bottom w:type="dxa" w:w="70"/>
              <w:right w:type="dxa" w:w="110"/>
            </w:tcMar>
          </w:tcPr>
          <w:p>
            <w:r>
              <w:rPr>
                <w:rFonts w:ascii="Arial" w:cs="Arial" w:eastAsia="Arial" w:hAnsi="Arial"/>
                <w:b/>
                <w:bCs/>
                <w:color w:val="FFFFFF"/>
                <w:sz w:val="20"/>
                <w:szCs w:val="20"/>
              </w:rPr>
              <w:t xml:space="preserve">Change Description</w:t>
            </w:r>
          </w:p>
        </w:tc>
        <w:tc>
          <w:tcPr>
            <w:tcW w:type="dxa" w:w="2600"/>
            <w:tcBorders>
              <w:top w:val="single" w:color="AAAAAA" w:sz="1"/>
              <w:left w:val="single" w:color="AAAAAA" w:sz="1"/>
              <w:bottom w:val="single" w:color="AAAAAA" w:sz="1"/>
              <w:right w:val="single" w:color="AAAAAA" w:sz="1"/>
            </w:tcBorders>
            <w:shd w:fill="2E75B6" w:val="clear"/>
            <w:tcMar>
              <w:top w:type="dxa" w:w="70"/>
              <w:left w:type="dxa" w:w="110"/>
              <w:bottom w:type="dxa" w:w="70"/>
              <w:right w:type="dxa" w:w="110"/>
            </w:tcMar>
          </w:tcPr>
          <w:p>
            <w:r>
              <w:rPr>
                <w:rFonts w:ascii="Arial" w:cs="Arial" w:eastAsia="Arial" w:hAnsi="Arial"/>
                <w:b/>
                <w:bCs/>
                <w:color w:val="FFFFFF"/>
                <w:sz w:val="20"/>
                <w:szCs w:val="20"/>
              </w:rPr>
              <w:t xml:space="preserve">Author</w:t>
            </w:r>
          </w:p>
        </w:tc>
      </w:tr>
      <w:tr>
        <w:tc>
          <w:tcPr>
            <w:tcW w:type="dxa" w:w="13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1.0</w:t>
            </w:r>
          </w:p>
        </w:tc>
        <w:tc>
          <w:tcPr>
            <w:tcW w:type="dxa" w:w="17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3 May 2026</w:t>
            </w:r>
          </w:p>
        </w:tc>
        <w:tc>
          <w:tcPr>
            <w:tcW w:type="dxa" w:w="37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Initial issue — Information Security Policy established</w:t>
            </w:r>
          </w:p>
        </w:tc>
        <w:tc>
          <w:tcPr>
            <w:tcW w:type="dxa" w:w="26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IS Manager</w:t>
            </w:r>
          </w:p>
        </w:tc>
      </w:tr>
    </w:tbl>
    <w:p>
      <w:pPr>
        <w:spacing w:after="180" w:before="0"/>
      </w:pPr>
      <w:r>
        <w:t xml:space="preserve"/>
      </w:r>
    </w:p>
    <w:p>
      <w:pPr>
        <w:pStyle w:val="Heading2"/>
        <w:spacing w:after="100" w:before="200"/>
      </w:pPr>
      <w:r>
        <w:rPr>
          <w:rFonts w:ascii="Arial" w:cs="Arial" w:eastAsia="Arial" w:hAnsi="Arial"/>
          <w:b/>
          <w:bCs/>
          <w:color w:val="2E75B6"/>
          <w:sz w:val="24"/>
          <w:szCs w:val="24"/>
        </w:rPr>
        <w:t xml:space="preserve">1.2 Document Approval</w:t>
      </w:r>
    </w:p>
    <w:p>
      <w:pPr>
        <w:spacing w:after="60" w:before="60"/>
      </w:pPr>
      <w:r>
        <w:rPr>
          <w:rFonts w:ascii="Arial" w:cs="Arial" w:eastAsia="Arial" w:hAnsi="Arial"/>
          <w:sz w:val="22"/>
          <w:szCs w:val="22"/>
        </w:rPr>
        <w:t xml:space="preserve">This document has been reviewed, approved, and authorised by Top Management in accordance with ISO/IEC 27001:2022 Clause 5.1 and Clause 5.2.</w:t>
      </w:r>
    </w:p>
    <w:p>
      <w:pPr>
        <w:spacing w:after="9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shd w:fill="2E75B6" w:val="clear"/>
            <w:tcMar>
              <w:top w:type="dxa" w:w="70"/>
              <w:left w:type="dxa" w:w="110"/>
              <w:bottom w:type="dxa" w:w="70"/>
              <w:right w:type="dxa" w:w="110"/>
            </w:tcMar>
          </w:tcPr>
          <w:p>
            <w:r>
              <w:rPr>
                <w:rFonts w:ascii="Arial" w:cs="Arial" w:eastAsia="Arial" w:hAnsi="Arial"/>
                <w:b/>
                <w:bCs/>
                <w:color w:val="FFFFFF"/>
                <w:sz w:val="20"/>
                <w:szCs w:val="20"/>
              </w:rPr>
              <w:t xml:space="preserve">Role</w:t>
            </w:r>
          </w:p>
        </w:tc>
        <w:tc>
          <w:tcPr>
            <w:tcW w:type="dxa" w:w="3120"/>
            <w:tcBorders>
              <w:top w:val="single" w:color="AAAAAA" w:sz="1"/>
              <w:left w:val="single" w:color="AAAAAA" w:sz="1"/>
              <w:bottom w:val="single" w:color="AAAAAA" w:sz="1"/>
              <w:right w:val="single" w:color="AAAAAA" w:sz="1"/>
            </w:tcBorders>
            <w:shd w:fill="2E75B6" w:val="clear"/>
            <w:tcMar>
              <w:top w:type="dxa" w:w="70"/>
              <w:left w:type="dxa" w:w="110"/>
              <w:bottom w:type="dxa" w:w="70"/>
              <w:right w:type="dxa" w:w="110"/>
            </w:tcMar>
          </w:tcPr>
          <w:p>
            <w:r>
              <w:rPr>
                <w:rFonts w:ascii="Arial" w:cs="Arial" w:eastAsia="Arial" w:hAnsi="Arial"/>
                <w:b/>
                <w:bCs/>
                <w:color w:val="FFFFFF"/>
                <w:sz w:val="20"/>
                <w:szCs w:val="20"/>
              </w:rPr>
              <w:t xml:space="preserve">Name</w:t>
            </w:r>
          </w:p>
        </w:tc>
        <w:tc>
          <w:tcPr>
            <w:tcW w:type="dxa" w:w="3120"/>
            <w:tcBorders>
              <w:top w:val="single" w:color="AAAAAA" w:sz="1"/>
              <w:left w:val="single" w:color="AAAAAA" w:sz="1"/>
              <w:bottom w:val="single" w:color="AAAAAA" w:sz="1"/>
              <w:right w:val="single" w:color="AAAAAA" w:sz="1"/>
            </w:tcBorders>
            <w:shd w:fill="2E75B6" w:val="clear"/>
            <w:tcMar>
              <w:top w:type="dxa" w:w="70"/>
              <w:left w:type="dxa" w:w="110"/>
              <w:bottom w:type="dxa" w:w="70"/>
              <w:right w:type="dxa" w:w="110"/>
            </w:tcMar>
          </w:tcPr>
          <w:p>
            <w:r>
              <w:rPr>
                <w:rFonts w:ascii="Arial" w:cs="Arial" w:eastAsia="Arial" w:hAnsi="Arial"/>
                <w:b/>
                <w:bCs/>
                <w:color w:val="FFFFFF"/>
                <w:sz w:val="20"/>
                <w:szCs w:val="20"/>
              </w:rPr>
              <w:t xml:space="preserve">Signature / Date</w:t>
            </w:r>
          </w:p>
        </w:tc>
      </w:tr>
      <w:tr>
        <w:tc>
          <w:tcPr>
            <w:tcW w:type="dxa" w:w="312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Chief Executive Officer (CEO)</w:t>
            </w:r>
          </w:p>
        </w:tc>
        <w:tc>
          <w:tcPr>
            <w:tcW w:type="dxa" w:w="312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[Full Name]</w:t>
            </w:r>
          </w:p>
        </w:tc>
        <w:tc>
          <w:tcPr>
            <w:tcW w:type="dxa" w:w="312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___________________  /  3 May 2026</w:t>
            </w:r>
          </w:p>
        </w:tc>
      </w:tr>
      <w:tr>
        <w:tc>
          <w:tcPr>
            <w:tcW w:type="dxa" w:w="312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Chief Information Security Officer (CISO)</w:t>
            </w:r>
          </w:p>
        </w:tc>
        <w:tc>
          <w:tcPr>
            <w:tcW w:type="dxa" w:w="312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[Full Name]</w:t>
            </w:r>
          </w:p>
        </w:tc>
        <w:tc>
          <w:tcPr>
            <w:tcW w:type="dxa" w:w="312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___________________  /  3 May 2026</w:t>
            </w:r>
          </w:p>
        </w:tc>
      </w:tr>
    </w:tbl>
    <w:p>
      <w:pPr>
        <w:spacing w:after="180" w:before="0"/>
      </w:pPr>
      <w:r>
        <w:t xml:space="preserve"/>
      </w:r>
    </w:p>
    <w:p>
      <w:pPr>
        <w:pStyle w:val="Heading1"/>
        <w:spacing w:after="140" w:before="280"/>
      </w:pPr>
      <w:r>
        <w:rPr>
          <w:rFonts w:ascii="Arial" w:cs="Arial" w:eastAsia="Arial" w:hAnsi="Arial"/>
          <w:b/>
          <w:bCs/>
          <w:color w:val="1F3864"/>
          <w:sz w:val="28"/>
          <w:szCs w:val="28"/>
        </w:rPr>
        <w:t xml:space="preserve">2. Purpose</w:t>
      </w:r>
    </w:p>
    <w:p>
      <w:pPr>
        <w:spacing w:after="60" w:before="60"/>
      </w:pPr>
      <w:r>
        <w:rPr>
          <w:rFonts w:ascii="Arial" w:cs="Arial" w:eastAsia="Arial" w:hAnsi="Arial"/>
          <w:sz w:val="22"/>
          <w:szCs w:val="22"/>
        </w:rPr>
        <w:t xml:space="preserve">This Information Security Policy (hereinafter "the Policy") establishes the strategic direction, principles, and commitments of [Organization Name] Co., Ltd. (hereinafter "the Organization") with respect to information security.</w:t>
      </w:r>
    </w:p>
    <w:p>
      <w:pPr>
        <w:spacing w:after="90" w:before="0"/>
      </w:pPr>
      <w:r>
        <w:t xml:space="preserve"/>
      </w:r>
    </w:p>
    <w:p>
      <w:pPr>
        <w:spacing w:after="60" w:before="60"/>
      </w:pPr>
      <w:r>
        <w:rPr>
          <w:rFonts w:ascii="Arial" w:cs="Arial" w:eastAsia="Arial" w:hAnsi="Arial"/>
          <w:sz w:val="22"/>
          <w:szCs w:val="22"/>
        </w:rPr>
        <w:t xml:space="preserve">This Policy is the founding document of the Organization's Information Security Management System (ISMS) and satisfies the requirements of:</w:t>
      </w:r>
    </w:p>
    <w:p>
      <w:pPr>
        <w:spacing w:after="90" w:before="0"/>
      </w:pPr>
      <w:r>
        <w:t xml:space="preserve"/>
      </w:r>
    </w:p>
    <w:p>
      <w:pPr>
        <w:pStyle w:val="ListParagraph"/>
        <w:numPr>
          <w:ilvl w:val="0"/>
          <w:numId w:val="2"/>
        </w:numPr>
        <w:spacing w:after="50" w:before="50"/>
      </w:pPr>
      <w:r>
        <w:rPr>
          <w:rFonts w:ascii="Arial" w:cs="Arial" w:eastAsia="Arial" w:hAnsi="Arial"/>
          <w:b/>
          <w:bCs/>
          <w:sz w:val="22"/>
          <w:szCs w:val="22"/>
        </w:rPr>
        <w:t xml:space="preserve">ISO/IEC 27001:2022 Clause 5.2</w:t>
      </w:r>
      <w:r>
        <w:rPr>
          <w:rFonts w:ascii="Arial" w:cs="Arial" w:eastAsia="Arial" w:hAnsi="Arial"/>
          <w:sz w:val="22"/>
          <w:szCs w:val="22"/>
        </w:rPr>
        <w:t xml:space="preserve"> — Information security policy (mandatory requirement)</w:t>
      </w:r>
    </w:p>
    <w:p>
      <w:pPr>
        <w:pStyle w:val="ListParagraph"/>
        <w:numPr>
          <w:ilvl w:val="0"/>
          <w:numId w:val="2"/>
        </w:numPr>
        <w:spacing w:after="50" w:before="50"/>
      </w:pPr>
      <w:r>
        <w:rPr>
          <w:rFonts w:ascii="Arial" w:cs="Arial" w:eastAsia="Arial" w:hAnsi="Arial"/>
          <w:b/>
          <w:bCs/>
          <w:sz w:val="22"/>
          <w:szCs w:val="22"/>
        </w:rPr>
        <w:t xml:space="preserve">ISO/IEC 27001:2022 Clause 5.1</w:t>
      </w:r>
      <w:r>
        <w:rPr>
          <w:rFonts w:ascii="Arial" w:cs="Arial" w:eastAsia="Arial" w:hAnsi="Arial"/>
          <w:sz w:val="22"/>
          <w:szCs w:val="22"/>
        </w:rPr>
        <w:t xml:space="preserve"> — Leadership and commitment</w:t>
      </w:r>
    </w:p>
    <w:p>
      <w:pPr>
        <w:pStyle w:val="ListParagraph"/>
        <w:numPr>
          <w:ilvl w:val="0"/>
          <w:numId w:val="2"/>
        </w:numPr>
        <w:spacing w:after="50" w:before="50"/>
      </w:pPr>
      <w:r>
        <w:rPr>
          <w:rFonts w:ascii="Arial" w:cs="Arial" w:eastAsia="Arial" w:hAnsi="Arial"/>
          <w:b/>
          <w:bCs/>
          <w:sz w:val="22"/>
          <w:szCs w:val="22"/>
        </w:rPr>
        <w:t xml:space="preserve">ISO/IEC 27002:2022 Control A.5.1</w:t>
      </w:r>
      <w:r>
        <w:rPr>
          <w:rFonts w:ascii="Arial" w:cs="Arial" w:eastAsia="Arial" w:hAnsi="Arial"/>
          <w:sz w:val="22"/>
          <w:szCs w:val="22"/>
        </w:rPr>
        <w:t xml:space="preserve"> — Policies for information security</w:t>
      </w:r>
    </w:p>
    <w:p>
      <w:pPr>
        <w:spacing w:after="90" w:before="0"/>
      </w:pPr>
      <w:r>
        <w:t xml:space="preserve"/>
      </w:r>
    </w:p>
    <w:p>
      <w:pPr>
        <w:spacing w:after="60" w:before="60"/>
      </w:pPr>
      <w:r>
        <w:rPr>
          <w:rFonts w:ascii="Arial" w:cs="Arial" w:eastAsia="Arial" w:hAnsi="Arial"/>
          <w:sz w:val="22"/>
          <w:szCs w:val="22"/>
        </w:rPr>
        <w:t xml:space="preserve">This Policy applies alongside and must be read in conjunction with the ISMS Scope Document (ISMS-SCO-001) and the Statement of Applicability (ISMS-SOA-001). It is supported by a suite of domain-specific Tier 2 policies referenced in Section 10 of this document.</w:t>
      </w:r>
    </w:p>
    <w:p>
      <w:pPr>
        <w:spacing w:after="180" w:before="0"/>
      </w:pPr>
      <w:r>
        <w:t xml:space="preserve"/>
      </w:r>
    </w:p>
    <w:p>
      <w:pPr>
        <w:pStyle w:val="Heading1"/>
        <w:spacing w:after="140" w:before="280"/>
      </w:pPr>
      <w:r>
        <w:rPr>
          <w:rFonts w:ascii="Arial" w:cs="Arial" w:eastAsia="Arial" w:hAnsi="Arial"/>
          <w:b/>
          <w:bCs/>
          <w:color w:val="1F3864"/>
          <w:sz w:val="28"/>
          <w:szCs w:val="28"/>
        </w:rPr>
        <w:t xml:space="preserve">3. Scope</w:t>
      </w:r>
    </w:p>
    <w:p>
      <w:pPr>
        <w:spacing w:after="60" w:before="60"/>
      </w:pPr>
      <w:r>
        <w:rPr>
          <w:rFonts w:ascii="Arial" w:cs="Arial" w:eastAsia="Arial" w:hAnsi="Arial"/>
          <w:sz w:val="22"/>
          <w:szCs w:val="22"/>
        </w:rPr>
        <w:t xml:space="preserve">This Policy applies to:</w:t>
      </w:r>
    </w:p>
    <w:p>
      <w:pPr>
        <w:spacing w:after="90" w:before="0"/>
      </w:pPr>
      <w:r>
        <w:t xml:space="preserve"/>
      </w:r>
    </w:p>
    <w:p>
      <w:pPr>
        <w:pStyle w:val="ListParagraph"/>
        <w:numPr>
          <w:ilvl w:val="0"/>
          <w:numId w:val="2"/>
        </w:numPr>
        <w:spacing w:after="50" w:before="50"/>
      </w:pPr>
      <w:r>
        <w:rPr>
          <w:rFonts w:ascii="Arial" w:cs="Arial" w:eastAsia="Arial" w:hAnsi="Arial"/>
          <w:b/>
          <w:bCs/>
          <w:sz w:val="22"/>
          <w:szCs w:val="22"/>
        </w:rPr>
        <w:t xml:space="preserve">All personnel</w:t>
      </w:r>
      <w:r>
        <w:rPr>
          <w:rFonts w:ascii="Arial" w:cs="Arial" w:eastAsia="Arial" w:hAnsi="Arial"/>
          <w:sz w:val="22"/>
          <w:szCs w:val="22"/>
        </w:rPr>
        <w:t xml:space="preserve"> — full-time employees, part-time employees, contractors, consultants, and temporary staff employed by or operating under the direction of the Organization</w:t>
      </w:r>
    </w:p>
    <w:p>
      <w:pPr>
        <w:pStyle w:val="ListParagraph"/>
        <w:numPr>
          <w:ilvl w:val="0"/>
          <w:numId w:val="2"/>
        </w:numPr>
        <w:spacing w:after="50" w:before="50"/>
      </w:pPr>
      <w:r>
        <w:rPr>
          <w:rFonts w:ascii="Arial" w:cs="Arial" w:eastAsia="Arial" w:hAnsi="Arial"/>
          <w:b/>
          <w:bCs/>
          <w:sz w:val="22"/>
          <w:szCs w:val="22"/>
        </w:rPr>
        <w:t xml:space="preserve">All information assets</w:t>
      </w:r>
      <w:r>
        <w:rPr>
          <w:rFonts w:ascii="Arial" w:cs="Arial" w:eastAsia="Arial" w:hAnsi="Arial"/>
          <w:sz w:val="22"/>
          <w:szCs w:val="22"/>
        </w:rPr>
        <w:t xml:space="preserve"> — data, software, hardware, documentation, and intellectual property owned, controlled, or processed by the Organization</w:t>
      </w:r>
    </w:p>
    <w:p>
      <w:pPr>
        <w:pStyle w:val="ListParagraph"/>
        <w:numPr>
          <w:ilvl w:val="0"/>
          <w:numId w:val="2"/>
        </w:numPr>
        <w:spacing w:after="50" w:before="50"/>
      </w:pPr>
      <w:r>
        <w:rPr>
          <w:rFonts w:ascii="Arial" w:cs="Arial" w:eastAsia="Arial" w:hAnsi="Arial"/>
          <w:b/>
          <w:bCs/>
          <w:sz w:val="22"/>
          <w:szCs w:val="22"/>
        </w:rPr>
        <w:t xml:space="preserve">All systems and infrastructure</w:t>
      </w:r>
      <w:r>
        <w:rPr>
          <w:rFonts w:ascii="Arial" w:cs="Arial" w:eastAsia="Arial" w:hAnsi="Arial"/>
          <w:sz w:val="22"/>
          <w:szCs w:val="22"/>
        </w:rPr>
        <w:t xml:space="preserve"> — on-premise servers, cloud platforms, employee devices, networks, and third-party hosted environments</w:t>
      </w:r>
    </w:p>
    <w:p>
      <w:pPr>
        <w:pStyle w:val="ListParagraph"/>
        <w:numPr>
          <w:ilvl w:val="0"/>
          <w:numId w:val="2"/>
        </w:numPr>
        <w:spacing w:after="50" w:before="50"/>
      </w:pPr>
      <w:r>
        <w:rPr>
          <w:rFonts w:ascii="Arial" w:cs="Arial" w:eastAsia="Arial" w:hAnsi="Arial"/>
          <w:b/>
          <w:bCs/>
          <w:sz w:val="22"/>
          <w:szCs w:val="22"/>
        </w:rPr>
        <w:t xml:space="preserve">All locations</w:t>
      </w:r>
      <w:r>
        <w:rPr>
          <w:rFonts w:ascii="Arial" w:cs="Arial" w:eastAsia="Arial" w:hAnsi="Arial"/>
          <w:sz w:val="22"/>
          <w:szCs w:val="22"/>
        </w:rPr>
        <w:t xml:space="preserve"> — head office, branch offices, remote working locations, and third-party data centre facilities</w:t>
      </w:r>
    </w:p>
    <w:p>
      <w:pPr>
        <w:pStyle w:val="ListParagraph"/>
        <w:numPr>
          <w:ilvl w:val="0"/>
          <w:numId w:val="2"/>
        </w:numPr>
        <w:spacing w:after="50" w:before="50"/>
      </w:pPr>
      <w:r>
        <w:rPr>
          <w:rFonts w:ascii="Arial" w:cs="Arial" w:eastAsia="Arial" w:hAnsi="Arial"/>
          <w:b/>
          <w:bCs/>
          <w:sz w:val="22"/>
          <w:szCs w:val="22"/>
        </w:rPr>
        <w:t xml:space="preserve">All third parties</w:t>
      </w:r>
      <w:r>
        <w:rPr>
          <w:rFonts w:ascii="Arial" w:cs="Arial" w:eastAsia="Arial" w:hAnsi="Arial"/>
          <w:sz w:val="22"/>
          <w:szCs w:val="22"/>
        </w:rPr>
        <w:t xml:space="preserve"> — suppliers, vendors, and partners with access to the Organization's information assets or systems under formal agreement</w:t>
      </w:r>
    </w:p>
    <w:p>
      <w:pPr>
        <w:spacing w:after="90" w:before="0"/>
      </w:pPr>
      <w:r>
        <w:t xml:space="preserve"/>
      </w:r>
    </w:p>
    <w:p>
      <w:pPr>
        <w:spacing w:after="60" w:before="60"/>
      </w:pPr>
      <w:r>
        <w:rPr>
          <w:rFonts w:ascii="Arial" w:cs="Arial" w:eastAsia="Arial" w:hAnsi="Arial"/>
          <w:i/>
          <w:iCs/>
          <w:color w:val="555555"/>
          <w:sz w:val="22"/>
          <w:szCs w:val="22"/>
        </w:rPr>
        <w:t xml:space="preserve">The boundary of this Policy is coterminous with the ISMS scope as defined in ISMS-SCO-001. Any proposed exclusions from this Policy must be documented in the Statement of Applicability (ISMS-SOA-001) with written justification approved by the CISO.</w:t>
      </w:r>
    </w:p>
    <w:p>
      <w:pPr>
        <w:spacing w:after="180" w:before="0"/>
      </w:pPr>
      <w:r>
        <w:t xml:space="preserve"/>
      </w:r>
    </w:p>
    <w:p>
      <w:pPr>
        <w:pStyle w:val="Heading1"/>
        <w:spacing w:after="140" w:before="280"/>
      </w:pPr>
      <w:r>
        <w:rPr>
          <w:rFonts w:ascii="Arial" w:cs="Arial" w:eastAsia="Arial" w:hAnsi="Arial"/>
          <w:b/>
          <w:bCs/>
          <w:color w:val="1F3864"/>
          <w:sz w:val="28"/>
          <w:szCs w:val="28"/>
        </w:rPr>
        <w:t xml:space="preserve">4. Information Security Policy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2"/>
              <w:bottom w:val="single" w:color="2E75B6" w:sz="1"/>
              <w:right w:val="single" w:color="2E75B6" w:sz="1"/>
            </w:tcBorders>
            <w:shd w:fill="D6E4F0" w:val="clear"/>
            <w:tcMar>
              <w:top w:type="dxa" w:w="100"/>
              <w:left w:type="dxa" w:w="160"/>
              <w:bottom w:type="dxa" w:w="100"/>
              <w:right w:type="dxa" w:w="120"/>
            </w:tcMar>
          </w:tcPr>
          <w:p>
            <w:pPr>
              <w:spacing w:after="40" w:before="40"/>
            </w:pPr>
            <w:r>
              <w:rPr>
                <w:rFonts w:ascii="Arial" w:cs="Arial" w:eastAsia="Arial" w:hAnsi="Arial"/>
                <w:b/>
                <w:bCs/>
                <w:i w:val="false"/>
                <w:iCs w:val="false"/>
                <w:color w:val="1F3864"/>
                <w:sz w:val="20"/>
                <w:szCs w:val="20"/>
              </w:rPr>
              <w:t xml:space="preserve">Top Management Commitment Statement</w:t>
            </w:r>
          </w:p>
          <w:p>
            <w:pPr>
              <w:spacing w:after="40" w:before="40"/>
            </w:pPr>
            <w:r>
              <w:rPr>
                <w:rFonts w:ascii="Arial" w:cs="Arial" w:eastAsia="Arial" w:hAnsi="Arial"/>
                <w:b w:val="false"/>
                <w:bCs w:val="false"/>
                <w:i w:val="false"/>
                <w:iCs w:val="false"/>
                <w:color w:val="000000"/>
                <w:sz w:val="20"/>
                <w:szCs w:val="20"/>
              </w:rPr>
              <w:t xml:space="preserve"> </w:t>
            </w:r>
          </w:p>
          <w:p>
            <w:pPr>
              <w:spacing w:after="40" w:before="40"/>
            </w:pPr>
            <w:r>
              <w:rPr>
                <w:rFonts w:ascii="Arial" w:cs="Arial" w:eastAsia="Arial" w:hAnsi="Arial"/>
                <w:b w:val="false"/>
                <w:bCs w:val="false"/>
                <w:i/>
                <w:iCs/>
                <w:color w:val="000000"/>
                <w:sz w:val="20"/>
                <w:szCs w:val="20"/>
              </w:rPr>
              <w:t xml:space="preserve">[Organization Name] Co., Ltd. is committed to protecting the confidentiality, integrity, and availability of all information assets — whether owned by the Organization, its clients, employees, or third parties — in a manner that is proportionate to identified risks and consistent with applicable legal, regulatory, and contractual obligations.</w:t>
            </w:r>
          </w:p>
          <w:p>
            <w:pPr>
              <w:spacing w:after="40" w:before="40"/>
            </w:pPr>
            <w:r>
              <w:rPr>
                <w:rFonts w:ascii="Arial" w:cs="Arial" w:eastAsia="Arial" w:hAnsi="Arial"/>
                <w:b w:val="false"/>
                <w:bCs w:val="false"/>
                <w:i w:val="false"/>
                <w:iCs w:val="false"/>
                <w:color w:val="000000"/>
                <w:sz w:val="20"/>
                <w:szCs w:val="20"/>
              </w:rPr>
              <w:t xml:space="preserve"> </w:t>
            </w:r>
          </w:p>
          <w:p>
            <w:pPr>
              <w:spacing w:after="40" w:before="40"/>
            </w:pPr>
            <w:r>
              <w:rPr>
                <w:rFonts w:ascii="Arial" w:cs="Arial" w:eastAsia="Arial" w:hAnsi="Arial"/>
                <w:b w:val="false"/>
                <w:bCs w:val="false"/>
                <w:i/>
                <w:iCs/>
                <w:color w:val="000000"/>
                <w:sz w:val="20"/>
                <w:szCs w:val="20"/>
              </w:rPr>
              <w:t xml:space="preserve">The Board of Directors and Senior Management fully endorse this Policy and are committed to providing the leadership, resources, and governance structures necessary to establish, implement, maintain, and continually improve an effective ISMS in accordance with ISO/IEC 27001:2022.</w:t>
            </w:r>
          </w:p>
        </w:tc>
      </w:tr>
    </w:tbl>
    <w:p>
      <w:pPr>
        <w:spacing w:after="90" w:before="0"/>
      </w:pPr>
      <w:r>
        <w:t xml:space="preserve"/>
      </w:r>
    </w:p>
    <w:p>
      <w:pPr>
        <w:spacing w:after="60" w:before="60"/>
      </w:pPr>
      <w:r>
        <w:rPr>
          <w:rFonts w:ascii="Arial" w:cs="Arial" w:eastAsia="Arial" w:hAnsi="Arial"/>
          <w:sz w:val="22"/>
          <w:szCs w:val="22"/>
        </w:rPr>
        <w:t xml:space="preserve">In accordance with ISO/IEC 27001:2022 Clause 5.2, this Policy:</w:t>
      </w:r>
    </w:p>
    <w:p>
      <w:pPr>
        <w:spacing w:after="90" w:before="0"/>
      </w:pPr>
      <w:r>
        <w:t xml:space="preserve"/>
      </w:r>
    </w:p>
    <w:p>
      <w:pPr>
        <w:pStyle w:val="ListParagraph"/>
        <w:numPr>
          <w:ilvl w:val="0"/>
          <w:numId w:val="2"/>
        </w:numPr>
        <w:spacing w:after="50" w:before="50"/>
      </w:pPr>
      <w:r>
        <w:rPr>
          <w:rFonts w:ascii="Arial" w:cs="Arial" w:eastAsia="Arial" w:hAnsi="Arial"/>
          <w:b/>
          <w:bCs/>
          <w:sz w:val="22"/>
          <w:szCs w:val="22"/>
        </w:rPr>
        <w:t xml:space="preserve">Is appropriate</w:t>
      </w:r>
      <w:r>
        <w:rPr>
          <w:rFonts w:ascii="Arial" w:cs="Arial" w:eastAsia="Arial" w:hAnsi="Arial"/>
          <w:sz w:val="22"/>
          <w:szCs w:val="22"/>
        </w:rPr>
        <w:t xml:space="preserve"> to the purpose and context of the Organization, including its strategic objectives and risk environment</w:t>
      </w:r>
    </w:p>
    <w:p>
      <w:pPr>
        <w:pStyle w:val="ListParagraph"/>
        <w:numPr>
          <w:ilvl w:val="0"/>
          <w:numId w:val="2"/>
        </w:numPr>
        <w:spacing w:after="50" w:before="50"/>
      </w:pPr>
      <w:r>
        <w:rPr>
          <w:rFonts w:ascii="Arial" w:cs="Arial" w:eastAsia="Arial" w:hAnsi="Arial"/>
          <w:b/>
          <w:bCs/>
          <w:sz w:val="22"/>
          <w:szCs w:val="22"/>
        </w:rPr>
        <w:t xml:space="preserve">Includes IS objectives</w:t>
      </w:r>
      <w:r>
        <w:rPr>
          <w:rFonts w:ascii="Arial" w:cs="Arial" w:eastAsia="Arial" w:hAnsi="Arial"/>
          <w:sz w:val="22"/>
          <w:szCs w:val="22"/>
        </w:rPr>
        <w:t xml:space="preserve"> or provides a framework for setting IS objectives (see Section 6)</w:t>
      </w:r>
    </w:p>
    <w:p>
      <w:pPr>
        <w:pStyle w:val="ListParagraph"/>
        <w:numPr>
          <w:ilvl w:val="0"/>
          <w:numId w:val="2"/>
        </w:numPr>
        <w:spacing w:after="50" w:before="50"/>
      </w:pPr>
      <w:r>
        <w:rPr>
          <w:rFonts w:ascii="Arial" w:cs="Arial" w:eastAsia="Arial" w:hAnsi="Arial"/>
          <w:b/>
          <w:bCs/>
          <w:sz w:val="22"/>
          <w:szCs w:val="22"/>
        </w:rPr>
        <w:t xml:space="preserve">Includes a commitment to satisfy</w:t>
      </w:r>
      <w:r>
        <w:rPr>
          <w:rFonts w:ascii="Arial" w:cs="Arial" w:eastAsia="Arial" w:hAnsi="Arial"/>
          <w:sz w:val="22"/>
          <w:szCs w:val="22"/>
        </w:rPr>
        <w:t xml:space="preserve"> applicable information security requirements — legal, regulatory, and contractual</w:t>
      </w:r>
    </w:p>
    <w:p>
      <w:pPr>
        <w:pStyle w:val="ListParagraph"/>
        <w:numPr>
          <w:ilvl w:val="0"/>
          <w:numId w:val="2"/>
        </w:numPr>
        <w:spacing w:after="50" w:before="50"/>
      </w:pPr>
      <w:r>
        <w:rPr>
          <w:rFonts w:ascii="Arial" w:cs="Arial" w:eastAsia="Arial" w:hAnsi="Arial"/>
          <w:b/>
          <w:bCs/>
          <w:sz w:val="22"/>
          <w:szCs w:val="22"/>
        </w:rPr>
        <w:t xml:space="preserve">Includes a commitment to continual improvement</w:t>
      </w:r>
      <w:r>
        <w:rPr>
          <w:rFonts w:ascii="Arial" w:cs="Arial" w:eastAsia="Arial" w:hAnsi="Arial"/>
          <w:sz w:val="22"/>
          <w:szCs w:val="22"/>
        </w:rPr>
        <w:t xml:space="preserve"> of the ISMS</w:t>
      </w:r>
    </w:p>
    <w:p>
      <w:pPr>
        <w:pStyle w:val="ListParagraph"/>
        <w:numPr>
          <w:ilvl w:val="0"/>
          <w:numId w:val="2"/>
        </w:numPr>
        <w:spacing w:after="50" w:before="50"/>
      </w:pPr>
      <w:r>
        <w:rPr>
          <w:rFonts w:ascii="Arial" w:cs="Arial" w:eastAsia="Arial" w:hAnsi="Arial"/>
          <w:b/>
          <w:bCs/>
          <w:sz w:val="22"/>
          <w:szCs w:val="22"/>
        </w:rPr>
        <w:t xml:space="preserve">Has been approved</w:t>
      </w:r>
      <w:r>
        <w:rPr>
          <w:rFonts w:ascii="Arial" w:cs="Arial" w:eastAsia="Arial" w:hAnsi="Arial"/>
          <w:sz w:val="22"/>
          <w:szCs w:val="22"/>
        </w:rPr>
        <w:t xml:space="preserve"> by Top Management and communicated to all relevant internal and external parties</w:t>
      </w:r>
    </w:p>
    <w:p>
      <w:pPr>
        <w:pStyle w:val="ListParagraph"/>
        <w:numPr>
          <w:ilvl w:val="0"/>
          <w:numId w:val="2"/>
        </w:numPr>
        <w:spacing w:after="50" w:before="50"/>
      </w:pPr>
      <w:r>
        <w:rPr>
          <w:rFonts w:ascii="Arial" w:cs="Arial" w:eastAsia="Arial" w:hAnsi="Arial"/>
          <w:b/>
          <w:bCs/>
          <w:sz w:val="22"/>
          <w:szCs w:val="22"/>
        </w:rPr>
        <w:t xml:space="preserve">Will be reviewed</w:t>
      </w:r>
      <w:r>
        <w:rPr>
          <w:rFonts w:ascii="Arial" w:cs="Arial" w:eastAsia="Arial" w:hAnsi="Arial"/>
          <w:sz w:val="22"/>
          <w:szCs w:val="22"/>
        </w:rPr>
        <w:t xml:space="preserve"> at least annually and whenever significant changes occur</w:t>
      </w:r>
    </w:p>
    <w:p>
      <w:pPr>
        <w:spacing w:after="180" w:before="0"/>
      </w:pPr>
      <w:r>
        <w:t xml:space="preserve"/>
      </w:r>
    </w:p>
    <w:p>
      <w:pPr>
        <w:pStyle w:val="Heading1"/>
        <w:spacing w:after="140" w:before="280"/>
      </w:pPr>
      <w:r>
        <w:rPr>
          <w:rFonts w:ascii="Arial" w:cs="Arial" w:eastAsia="Arial" w:hAnsi="Arial"/>
          <w:b/>
          <w:bCs/>
          <w:color w:val="1F3864"/>
          <w:sz w:val="28"/>
          <w:szCs w:val="28"/>
        </w:rPr>
        <w:t xml:space="preserve">5. Information Security Commitments</w:t>
      </w:r>
    </w:p>
    <w:p>
      <w:pPr>
        <w:spacing w:after="60" w:before="60"/>
      </w:pPr>
      <w:r>
        <w:rPr>
          <w:rFonts w:ascii="Arial" w:cs="Arial" w:eastAsia="Arial" w:hAnsi="Arial"/>
          <w:sz w:val="22"/>
          <w:szCs w:val="22"/>
        </w:rPr>
        <w:t xml:space="preserve">The Organization commits to protecting information assets across the three dimensions of the CIA Triad:</w:t>
      </w:r>
    </w:p>
    <w:p>
      <w:pPr>
        <w:spacing w:after="90" w:before="0"/>
      </w:pPr>
      <w:r>
        <w:t xml:space="preserve"/>
      </w:r>
    </w:p>
    <w:p>
      <w:pPr>
        <w:pStyle w:val="Heading2"/>
        <w:spacing w:after="100" w:before="200"/>
      </w:pPr>
      <w:r>
        <w:rPr>
          <w:rFonts w:ascii="Arial" w:cs="Arial" w:eastAsia="Arial" w:hAnsi="Arial"/>
          <w:b/>
          <w:bCs/>
          <w:color w:val="2E75B6"/>
          <w:sz w:val="24"/>
          <w:szCs w:val="24"/>
        </w:rPr>
        <w:t xml:space="preserve">5.1 Confidentiality</w:t>
      </w:r>
    </w:p>
    <w:p>
      <w:pPr>
        <w:spacing w:after="60" w:before="60"/>
      </w:pPr>
      <w:r>
        <w:rPr>
          <w:rFonts w:ascii="Arial" w:cs="Arial" w:eastAsia="Arial" w:hAnsi="Arial"/>
          <w:sz w:val="22"/>
          <w:szCs w:val="22"/>
        </w:rPr>
        <w:t xml:space="preserve">Information shall be accessible only to those authorised to have access. The Organization shall implement access controls, data classification, and need-to-know principles to prevent unauthorised disclosure of information assets. Controls shall include logical access management (A.5.15–A.5.18), encryption where appropriate (A.8.24), and supplier data handling obligations (A.5.19–A.5.22).</w:t>
      </w:r>
    </w:p>
    <w:p>
      <w:pPr>
        <w:spacing w:after="90" w:before="0"/>
      </w:pPr>
      <w:r>
        <w:t xml:space="preserve"/>
      </w:r>
    </w:p>
    <w:p>
      <w:pPr>
        <w:pStyle w:val="Heading2"/>
        <w:spacing w:after="100" w:before="200"/>
      </w:pPr>
      <w:r>
        <w:rPr>
          <w:rFonts w:ascii="Arial" w:cs="Arial" w:eastAsia="Arial" w:hAnsi="Arial"/>
          <w:b/>
          <w:bCs/>
          <w:color w:val="2E75B6"/>
          <w:sz w:val="24"/>
          <w:szCs w:val="24"/>
        </w:rPr>
        <w:t xml:space="preserve">5.2 Integrity</w:t>
      </w:r>
    </w:p>
    <w:p>
      <w:pPr>
        <w:spacing w:after="60" w:before="60"/>
      </w:pPr>
      <w:r>
        <w:rPr>
          <w:rFonts w:ascii="Arial" w:cs="Arial" w:eastAsia="Arial" w:hAnsi="Arial"/>
          <w:sz w:val="22"/>
          <w:szCs w:val="22"/>
        </w:rPr>
        <w:t xml:space="preserve">The accuracy and completeness of information and processing methods shall be safeguarded. The Organization shall implement controls to prevent unauthorised modification of data, ensure audit trails are maintained (A.8.15, A.8.17), and manage changes through formal change management processes (A.8.32).</w:t>
      </w:r>
    </w:p>
    <w:p>
      <w:pPr>
        <w:spacing w:after="90" w:before="0"/>
      </w:pPr>
      <w:r>
        <w:t xml:space="preserve"/>
      </w:r>
    </w:p>
    <w:p>
      <w:pPr>
        <w:pStyle w:val="Heading2"/>
        <w:spacing w:after="100" w:before="200"/>
      </w:pPr>
      <w:r>
        <w:rPr>
          <w:rFonts w:ascii="Arial" w:cs="Arial" w:eastAsia="Arial" w:hAnsi="Arial"/>
          <w:b/>
          <w:bCs/>
          <w:color w:val="2E75B6"/>
          <w:sz w:val="24"/>
          <w:szCs w:val="24"/>
        </w:rPr>
        <w:t xml:space="preserve">5.3 Availability</w:t>
      </w:r>
    </w:p>
    <w:p>
      <w:pPr>
        <w:spacing w:after="60" w:before="60"/>
      </w:pPr>
      <w:r>
        <w:rPr>
          <w:rFonts w:ascii="Arial" w:cs="Arial" w:eastAsia="Arial" w:hAnsi="Arial"/>
          <w:sz w:val="22"/>
          <w:szCs w:val="22"/>
        </w:rPr>
        <w:t xml:space="preserve">Information and associated systems shall be available to authorised users when required. The Organization shall implement redundancy, backup, business continuity, and IT disaster recovery measures (A.5.29, A.5.30, A.8.13, A.8.14) to ensure continuity of critical services in alignment with agreed Recovery Time Objectives (RTOs) and Recovery Point Objectives (RPOs).</w:t>
      </w:r>
    </w:p>
    <w:p>
      <w:pPr>
        <w:spacing w:after="180" w:before="0"/>
      </w:pPr>
      <w:r>
        <w:t xml:space="preserve"/>
      </w:r>
    </w:p>
    <w:p>
      <w:pPr>
        <w:pStyle w:val="Heading1"/>
        <w:spacing w:after="140" w:before="280"/>
      </w:pPr>
      <w:r>
        <w:rPr>
          <w:rFonts w:ascii="Arial" w:cs="Arial" w:eastAsia="Arial" w:hAnsi="Arial"/>
          <w:b/>
          <w:bCs/>
          <w:color w:val="1F3864"/>
          <w:sz w:val="28"/>
          <w:szCs w:val="28"/>
        </w:rPr>
        <w:t xml:space="preserve">6. Information Security Objectives (Clause 6.2)</w:t>
      </w:r>
    </w:p>
    <w:p>
      <w:pPr>
        <w:spacing w:after="60" w:before="60"/>
      </w:pPr>
      <w:r>
        <w:rPr>
          <w:rFonts w:ascii="Arial" w:cs="Arial" w:eastAsia="Arial" w:hAnsi="Arial"/>
          <w:sz w:val="22"/>
          <w:szCs w:val="22"/>
        </w:rPr>
        <w:t xml:space="preserve">In accordance with ISO/IEC 27001:2022 Clause 6.2, the Organization has established the following measurable information security objectives. These objectives are reviewed as part of the annual Management Review (Clause 9.3) and updated where appropriate.</w:t>
      </w:r>
    </w:p>
    <w:p>
      <w:pPr>
        <w:spacing w:after="9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800"/>
        <w:gridCol w:w="1560"/>
        <w:gridCol w:w="1000"/>
      </w:tblGrid>
      <w:tr>
        <w:trPr>
          <w:tblHeader/>
        </w:trPr>
        <w:tc>
          <w:tcPr>
            <w:tcW w:type="dxa" w:w="3000"/>
            <w:tcBorders>
              <w:top w:val="single" w:color="AAAAAA" w:sz="1"/>
              <w:left w:val="single" w:color="AAAAAA" w:sz="1"/>
              <w:bottom w:val="single" w:color="AAAAAA" w:sz="1"/>
              <w:right w:val="single" w:color="AAAAAA" w:sz="1"/>
            </w:tcBorders>
            <w:shd w:fill="2E75B6" w:val="clear"/>
            <w:tcMar>
              <w:top w:type="dxa" w:w="70"/>
              <w:left w:type="dxa" w:w="110"/>
              <w:bottom w:type="dxa" w:w="70"/>
              <w:right w:type="dxa" w:w="110"/>
            </w:tcMar>
          </w:tcPr>
          <w:p>
            <w:r>
              <w:rPr>
                <w:rFonts w:ascii="Arial" w:cs="Arial" w:eastAsia="Arial" w:hAnsi="Arial"/>
                <w:b/>
                <w:bCs/>
                <w:color w:val="FFFFFF"/>
                <w:sz w:val="20"/>
                <w:szCs w:val="20"/>
              </w:rPr>
              <w:t xml:space="preserve">Objective</w:t>
            </w:r>
          </w:p>
        </w:tc>
        <w:tc>
          <w:tcPr>
            <w:tcW w:type="dxa" w:w="2000"/>
            <w:tcBorders>
              <w:top w:val="single" w:color="AAAAAA" w:sz="1"/>
              <w:left w:val="single" w:color="AAAAAA" w:sz="1"/>
              <w:bottom w:val="single" w:color="AAAAAA" w:sz="1"/>
              <w:right w:val="single" w:color="AAAAAA" w:sz="1"/>
            </w:tcBorders>
            <w:shd w:fill="2E75B6" w:val="clear"/>
            <w:tcMar>
              <w:top w:type="dxa" w:w="70"/>
              <w:left w:type="dxa" w:w="110"/>
              <w:bottom w:type="dxa" w:w="70"/>
              <w:right w:type="dxa" w:w="110"/>
            </w:tcMar>
          </w:tcPr>
          <w:p>
            <w:r>
              <w:rPr>
                <w:rFonts w:ascii="Arial" w:cs="Arial" w:eastAsia="Arial" w:hAnsi="Arial"/>
                <w:b/>
                <w:bCs/>
                <w:color w:val="FFFFFF"/>
                <w:sz w:val="20"/>
                <w:szCs w:val="20"/>
              </w:rPr>
              <w:t xml:space="preserve">Target</w:t>
            </w:r>
          </w:p>
        </w:tc>
        <w:tc>
          <w:tcPr>
            <w:tcW w:type="dxa" w:w="1800"/>
            <w:tcBorders>
              <w:top w:val="single" w:color="AAAAAA" w:sz="1"/>
              <w:left w:val="single" w:color="AAAAAA" w:sz="1"/>
              <w:bottom w:val="single" w:color="AAAAAA" w:sz="1"/>
              <w:right w:val="single" w:color="AAAAAA" w:sz="1"/>
            </w:tcBorders>
            <w:shd w:fill="2E75B6" w:val="clear"/>
            <w:tcMar>
              <w:top w:type="dxa" w:w="70"/>
              <w:left w:type="dxa" w:w="110"/>
              <w:bottom w:type="dxa" w:w="70"/>
              <w:right w:type="dxa" w:w="110"/>
            </w:tcMar>
          </w:tcPr>
          <w:p>
            <w:r>
              <w:rPr>
                <w:rFonts w:ascii="Arial" w:cs="Arial" w:eastAsia="Arial" w:hAnsi="Arial"/>
                <w:b/>
                <w:bCs/>
                <w:color w:val="FFFFFF"/>
                <w:sz w:val="20"/>
                <w:szCs w:val="20"/>
              </w:rPr>
              <w:t xml:space="preserve">Owner</w:t>
            </w:r>
          </w:p>
        </w:tc>
        <w:tc>
          <w:tcPr>
            <w:tcW w:type="dxa" w:w="1560"/>
            <w:tcBorders>
              <w:top w:val="single" w:color="AAAAAA" w:sz="1"/>
              <w:left w:val="single" w:color="AAAAAA" w:sz="1"/>
              <w:bottom w:val="single" w:color="AAAAAA" w:sz="1"/>
              <w:right w:val="single" w:color="AAAAAA" w:sz="1"/>
            </w:tcBorders>
            <w:shd w:fill="2E75B6" w:val="clear"/>
            <w:tcMar>
              <w:top w:type="dxa" w:w="70"/>
              <w:left w:type="dxa" w:w="110"/>
              <w:bottom w:type="dxa" w:w="70"/>
              <w:right w:type="dxa" w:w="110"/>
            </w:tcMar>
          </w:tcPr>
          <w:p>
            <w:r>
              <w:rPr>
                <w:rFonts w:ascii="Arial" w:cs="Arial" w:eastAsia="Arial" w:hAnsi="Arial"/>
                <w:b/>
                <w:bCs/>
                <w:color w:val="FFFFFF"/>
                <w:sz w:val="20"/>
                <w:szCs w:val="20"/>
              </w:rPr>
              <w:t xml:space="preserve">Measure</w:t>
            </w:r>
          </w:p>
        </w:tc>
        <w:tc>
          <w:tcPr>
            <w:tcW w:type="dxa" w:w="1000"/>
            <w:tcBorders>
              <w:top w:val="single" w:color="AAAAAA" w:sz="1"/>
              <w:left w:val="single" w:color="AAAAAA" w:sz="1"/>
              <w:bottom w:val="single" w:color="AAAAAA" w:sz="1"/>
              <w:right w:val="single" w:color="AAAAAA" w:sz="1"/>
            </w:tcBorders>
            <w:shd w:fill="2E75B6" w:val="clear"/>
            <w:tcMar>
              <w:top w:type="dxa" w:w="70"/>
              <w:left w:type="dxa" w:w="110"/>
              <w:bottom w:type="dxa" w:w="70"/>
              <w:right w:type="dxa" w:w="110"/>
            </w:tcMar>
          </w:tcPr>
          <w:p>
            <w:r>
              <w:rPr>
                <w:rFonts w:ascii="Arial" w:cs="Arial" w:eastAsia="Arial" w:hAnsi="Arial"/>
                <w:b/>
                <w:bCs/>
                <w:color w:val="FFFFFF"/>
                <w:sz w:val="20"/>
                <w:szCs w:val="20"/>
              </w:rPr>
              <w:t xml:space="preserve">Deadline</w:t>
            </w:r>
          </w:p>
        </w:tc>
      </w:tr>
      <w:tr>
        <w:tc>
          <w:tcPr>
            <w:tcW w:type="dxa" w:w="30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Achieve ISO 27001:2022 certification</w:t>
            </w:r>
          </w:p>
        </w:tc>
        <w:tc>
          <w:tcPr>
            <w:tcW w:type="dxa" w:w="20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Certification granted</w:t>
            </w:r>
          </w:p>
        </w:tc>
        <w:tc>
          <w:tcPr>
            <w:tcW w:type="dxa" w:w="18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CISO</w:t>
            </w:r>
          </w:p>
        </w:tc>
        <w:tc>
          <w:tcPr>
            <w:tcW w:type="dxa" w:w="15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Certification body decision</w:t>
            </w:r>
          </w:p>
        </w:tc>
        <w:tc>
          <w:tcPr>
            <w:tcW w:type="dxa" w:w="10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Q4 2026</w:t>
            </w:r>
          </w:p>
        </w:tc>
      </w:tr>
      <w:tr>
        <w:tc>
          <w:tcPr>
            <w:tcW w:type="dxa" w:w="30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100% staff complete IS awareness training annually</w:t>
            </w:r>
          </w:p>
        </w:tc>
        <w:tc>
          <w:tcPr>
            <w:tcW w:type="dxa" w:w="20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 95% completion rate</w:t>
            </w:r>
          </w:p>
        </w:tc>
        <w:tc>
          <w:tcPr>
            <w:tcW w:type="dxa" w:w="18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IS Manager / HR</w:t>
            </w:r>
          </w:p>
        </w:tc>
        <w:tc>
          <w:tcPr>
            <w:tcW w:type="dxa" w:w="156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LMS training records</w:t>
            </w:r>
          </w:p>
        </w:tc>
        <w:tc>
          <w:tcPr>
            <w:tcW w:type="dxa" w:w="10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Annual — Dec 31</w:t>
            </w:r>
          </w:p>
        </w:tc>
      </w:tr>
      <w:tr>
        <w:tc>
          <w:tcPr>
            <w:tcW w:type="dxa" w:w="30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Reduce security incidents by 30% vs baseline</w:t>
            </w:r>
          </w:p>
        </w:tc>
        <w:tc>
          <w:tcPr>
            <w:tcW w:type="dxa" w:w="20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30% reduction</w:t>
            </w:r>
          </w:p>
        </w:tc>
        <w:tc>
          <w:tcPr>
            <w:tcW w:type="dxa" w:w="18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CISO</w:t>
            </w:r>
          </w:p>
        </w:tc>
        <w:tc>
          <w:tcPr>
            <w:tcW w:type="dxa" w:w="15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Monthly incident register</w:t>
            </w:r>
          </w:p>
        </w:tc>
        <w:tc>
          <w:tcPr>
            <w:tcW w:type="dxa" w:w="10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Dec 31, 2026</w:t>
            </w:r>
          </w:p>
        </w:tc>
      </w:tr>
      <w:tr>
        <w:tc>
          <w:tcPr>
            <w:tcW w:type="dxa" w:w="30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Zero critical findings in internal audit</w:t>
            </w:r>
          </w:p>
        </w:tc>
        <w:tc>
          <w:tcPr>
            <w:tcW w:type="dxa" w:w="20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0 major nonconformities</w:t>
            </w:r>
          </w:p>
        </w:tc>
        <w:tc>
          <w:tcPr>
            <w:tcW w:type="dxa" w:w="18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IS Manager</w:t>
            </w:r>
          </w:p>
        </w:tc>
        <w:tc>
          <w:tcPr>
            <w:tcW w:type="dxa" w:w="156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Internal audit report</w:t>
            </w:r>
          </w:p>
        </w:tc>
        <w:tc>
          <w:tcPr>
            <w:tcW w:type="dxa" w:w="10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Annual audit cycle</w:t>
            </w:r>
          </w:p>
        </w:tc>
      </w:tr>
      <w:tr>
        <w:tc>
          <w:tcPr>
            <w:tcW w:type="dxa" w:w="30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100% of critical assets covered in risk register</w:t>
            </w:r>
          </w:p>
        </w:tc>
        <w:tc>
          <w:tcPr>
            <w:tcW w:type="dxa" w:w="20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Full asset coverage</w:t>
            </w:r>
          </w:p>
        </w:tc>
        <w:tc>
          <w:tcPr>
            <w:tcW w:type="dxa" w:w="18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IS Manager</w:t>
            </w:r>
          </w:p>
        </w:tc>
        <w:tc>
          <w:tcPr>
            <w:tcW w:type="dxa" w:w="15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Risk register review</w:t>
            </w:r>
          </w:p>
        </w:tc>
        <w:tc>
          <w:tcPr>
            <w:tcW w:type="dxa" w:w="10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Q2 2026</w:t>
            </w:r>
          </w:p>
        </w:tc>
      </w:tr>
      <w:tr>
        <w:tc>
          <w:tcPr>
            <w:tcW w:type="dxa" w:w="30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All suppliers with data access under signed contractual IS obligations</w:t>
            </w:r>
          </w:p>
        </w:tc>
        <w:tc>
          <w:tcPr>
            <w:tcW w:type="dxa" w:w="20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100% coverage</w:t>
            </w:r>
          </w:p>
        </w:tc>
        <w:tc>
          <w:tcPr>
            <w:tcW w:type="dxa" w:w="18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Legal / CISO</w:t>
            </w:r>
          </w:p>
        </w:tc>
        <w:tc>
          <w:tcPr>
            <w:tcW w:type="dxa" w:w="156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Supplier register</w:t>
            </w:r>
          </w:p>
        </w:tc>
        <w:tc>
          <w:tcPr>
            <w:tcW w:type="dxa" w:w="10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Q3 2026</w:t>
            </w:r>
          </w:p>
        </w:tc>
      </w:tr>
    </w:tbl>
    <w:p>
      <w:pPr>
        <w:spacing w:after="90" w:before="0"/>
      </w:pPr>
      <w:r>
        <w:t xml:space="preserve"/>
      </w:r>
    </w:p>
    <w:p>
      <w:pPr>
        <w:spacing w:after="60" w:before="60"/>
      </w:pPr>
      <w:r>
        <w:rPr>
          <w:rFonts w:ascii="Arial" w:cs="Arial" w:eastAsia="Arial" w:hAnsi="Arial"/>
          <w:i/>
          <w:iCs/>
          <w:color w:val="555555"/>
          <w:sz w:val="22"/>
          <w:szCs w:val="22"/>
        </w:rPr>
        <w:t xml:space="preserve">IS Objectives are further documented and tracked in the ISMS Objectives Register (ISMS-OBJ-001).</w:t>
      </w:r>
    </w:p>
    <w:p>
      <w:pPr>
        <w:spacing w:after="180" w:before="0"/>
      </w:pPr>
      <w:r>
        <w:t xml:space="preserve"/>
      </w:r>
    </w:p>
    <w:p>
      <w:pPr>
        <w:pStyle w:val="Heading1"/>
        <w:spacing w:after="140" w:before="280"/>
      </w:pPr>
      <w:r>
        <w:rPr>
          <w:rFonts w:ascii="Arial" w:cs="Arial" w:eastAsia="Arial" w:hAnsi="Arial"/>
          <w:b/>
          <w:bCs/>
          <w:color w:val="1F3864"/>
          <w:sz w:val="28"/>
          <w:szCs w:val="28"/>
        </w:rPr>
        <w:t xml:space="preserve">7. Roles and Responsibilities (Clause 5.3)</w:t>
      </w:r>
    </w:p>
    <w:p>
      <w:pPr>
        <w:spacing w:after="60" w:before="60"/>
      </w:pPr>
      <w:r>
        <w:rPr>
          <w:rFonts w:ascii="Arial" w:cs="Arial" w:eastAsia="Arial" w:hAnsi="Arial"/>
          <w:sz w:val="22"/>
          <w:szCs w:val="22"/>
        </w:rPr>
        <w:t xml:space="preserve">In accordance with ISO/IEC 27001:2022 Clause 5.3, the following roles bear defined information security responsibilities. Detailed role descriptions are maintained in the ISMS Roles and Responsibilities Register (ISMS-RRR-001).</w:t>
      </w:r>
    </w:p>
    <w:p>
      <w:pPr>
        <w:spacing w:after="90" w:before="0"/>
      </w:pPr>
      <w:r>
        <w:t xml:space="preserve"/>
      </w:r>
    </w:p>
    <w:p>
      <w:pPr>
        <w:pStyle w:val="Heading2"/>
        <w:spacing w:after="100" w:before="200"/>
      </w:pPr>
      <w:r>
        <w:rPr>
          <w:rFonts w:ascii="Arial" w:cs="Arial" w:eastAsia="Arial" w:hAnsi="Arial"/>
          <w:b/>
          <w:bCs/>
          <w:color w:val="2E75B6"/>
          <w:sz w:val="24"/>
          <w:szCs w:val="24"/>
        </w:rPr>
        <w:t xml:space="preserve">7.1 Board of Directors / Top Management</w:t>
      </w:r>
    </w:p>
    <w:p>
      <w:pPr>
        <w:pStyle w:val="ListParagraph"/>
        <w:numPr>
          <w:ilvl w:val="0"/>
          <w:numId w:val="2"/>
        </w:numPr>
        <w:spacing w:after="50" w:before="50"/>
      </w:pPr>
      <w:r>
        <w:rPr>
          <w:rFonts w:ascii="Arial" w:cs="Arial" w:eastAsia="Arial" w:hAnsi="Arial"/>
          <w:sz w:val="22"/>
          <w:szCs w:val="22"/>
        </w:rPr>
        <w:t xml:space="preserve">Approve and endorse this Policy and the ISMS overall</w:t>
      </w:r>
    </w:p>
    <w:p>
      <w:pPr>
        <w:pStyle w:val="ListParagraph"/>
        <w:numPr>
          <w:ilvl w:val="0"/>
          <w:numId w:val="2"/>
        </w:numPr>
        <w:spacing w:after="50" w:before="50"/>
      </w:pPr>
      <w:r>
        <w:rPr>
          <w:rFonts w:ascii="Arial" w:cs="Arial" w:eastAsia="Arial" w:hAnsi="Arial"/>
          <w:sz w:val="22"/>
          <w:szCs w:val="22"/>
        </w:rPr>
        <w:t xml:space="preserve">Ensure IS objectives are aligned with the Organization's strategic direction (Clause 5.1)</w:t>
      </w:r>
    </w:p>
    <w:p>
      <w:pPr>
        <w:pStyle w:val="ListParagraph"/>
        <w:numPr>
          <w:ilvl w:val="0"/>
          <w:numId w:val="2"/>
        </w:numPr>
        <w:spacing w:after="50" w:before="50"/>
      </w:pPr>
      <w:r>
        <w:rPr>
          <w:rFonts w:ascii="Arial" w:cs="Arial" w:eastAsia="Arial" w:hAnsi="Arial"/>
          <w:sz w:val="22"/>
          <w:szCs w:val="22"/>
        </w:rPr>
        <w:t xml:space="preserve">Provide adequate resources — budget, personnel, and tools — for ISMS operation</w:t>
      </w:r>
    </w:p>
    <w:p>
      <w:pPr>
        <w:pStyle w:val="ListParagraph"/>
        <w:numPr>
          <w:ilvl w:val="0"/>
          <w:numId w:val="2"/>
        </w:numPr>
        <w:spacing w:after="50" w:before="50"/>
      </w:pPr>
      <w:r>
        <w:rPr>
          <w:rFonts w:ascii="Arial" w:cs="Arial" w:eastAsia="Arial" w:hAnsi="Arial"/>
          <w:sz w:val="22"/>
          <w:szCs w:val="22"/>
        </w:rPr>
        <w:t xml:space="preserve">Promote a culture of information security awareness across the Organization</w:t>
      </w:r>
    </w:p>
    <w:p>
      <w:pPr>
        <w:pStyle w:val="ListParagraph"/>
        <w:numPr>
          <w:ilvl w:val="0"/>
          <w:numId w:val="2"/>
        </w:numPr>
        <w:spacing w:after="50" w:before="50"/>
      </w:pPr>
      <w:r>
        <w:rPr>
          <w:rFonts w:ascii="Arial" w:cs="Arial" w:eastAsia="Arial" w:hAnsi="Arial"/>
          <w:sz w:val="22"/>
          <w:szCs w:val="22"/>
        </w:rPr>
        <w:t xml:space="preserve">Conduct or delegate the annual Management Review (Clause 9.3)</w:t>
      </w:r>
    </w:p>
    <w:p>
      <w:pPr>
        <w:pStyle w:val="ListParagraph"/>
        <w:numPr>
          <w:ilvl w:val="0"/>
          <w:numId w:val="2"/>
        </w:numPr>
        <w:spacing w:after="50" w:before="50"/>
      </w:pPr>
      <w:r>
        <w:rPr>
          <w:rFonts w:ascii="Arial" w:cs="Arial" w:eastAsia="Arial" w:hAnsi="Arial"/>
          <w:sz w:val="22"/>
          <w:szCs w:val="22"/>
        </w:rPr>
        <w:t xml:space="preserve">Set and communicate the Organization's information security risk appetite</w:t>
      </w:r>
    </w:p>
    <w:p>
      <w:pPr>
        <w:spacing w:after="90" w:before="0"/>
      </w:pPr>
      <w:r>
        <w:t xml:space="preserve"/>
      </w:r>
    </w:p>
    <w:p>
      <w:pPr>
        <w:pStyle w:val="Heading2"/>
        <w:spacing w:after="100" w:before="200"/>
      </w:pPr>
      <w:r>
        <w:rPr>
          <w:rFonts w:ascii="Arial" w:cs="Arial" w:eastAsia="Arial" w:hAnsi="Arial"/>
          <w:b/>
          <w:bCs/>
          <w:color w:val="2E75B6"/>
          <w:sz w:val="24"/>
          <w:szCs w:val="24"/>
        </w:rPr>
        <w:t xml:space="preserve">7.2 Chief Information Security Officer (CISO) / Information Security Manager</w:t>
      </w:r>
    </w:p>
    <w:p>
      <w:pPr>
        <w:pStyle w:val="ListParagraph"/>
        <w:numPr>
          <w:ilvl w:val="0"/>
          <w:numId w:val="2"/>
        </w:numPr>
        <w:spacing w:after="50" w:before="50"/>
      </w:pPr>
      <w:r>
        <w:rPr>
          <w:rFonts w:ascii="Arial" w:cs="Arial" w:eastAsia="Arial" w:hAnsi="Arial"/>
          <w:sz w:val="22"/>
          <w:szCs w:val="22"/>
        </w:rPr>
        <w:t xml:space="preserve">Maintain, implement, and continually improve the ISMS in accordance with ISO/IEC 27001:2022</w:t>
      </w:r>
    </w:p>
    <w:p>
      <w:pPr>
        <w:pStyle w:val="ListParagraph"/>
        <w:numPr>
          <w:ilvl w:val="0"/>
          <w:numId w:val="2"/>
        </w:numPr>
        <w:spacing w:after="50" w:before="50"/>
      </w:pPr>
      <w:r>
        <w:rPr>
          <w:rFonts w:ascii="Arial" w:cs="Arial" w:eastAsia="Arial" w:hAnsi="Arial"/>
          <w:sz w:val="22"/>
          <w:szCs w:val="22"/>
        </w:rPr>
        <w:t xml:space="preserve">Coordinate risk assessments and risk treatment activities (Clause 6.1)</w:t>
      </w:r>
    </w:p>
    <w:p>
      <w:pPr>
        <w:pStyle w:val="ListParagraph"/>
        <w:numPr>
          <w:ilvl w:val="0"/>
          <w:numId w:val="2"/>
        </w:numPr>
        <w:spacing w:after="50" w:before="50"/>
      </w:pPr>
      <w:r>
        <w:rPr>
          <w:rFonts w:ascii="Arial" w:cs="Arial" w:eastAsia="Arial" w:hAnsi="Arial"/>
          <w:sz w:val="22"/>
          <w:szCs w:val="22"/>
        </w:rPr>
        <w:t xml:space="preserve">Maintain the Statement of Applicability (ISMS-SOA-001) and IS documentation</w:t>
      </w:r>
    </w:p>
    <w:p>
      <w:pPr>
        <w:pStyle w:val="ListParagraph"/>
        <w:numPr>
          <w:ilvl w:val="0"/>
          <w:numId w:val="2"/>
        </w:numPr>
        <w:spacing w:after="50" w:before="50"/>
      </w:pPr>
      <w:r>
        <w:rPr>
          <w:rFonts w:ascii="Arial" w:cs="Arial" w:eastAsia="Arial" w:hAnsi="Arial"/>
          <w:sz w:val="22"/>
          <w:szCs w:val="22"/>
        </w:rPr>
        <w:t xml:space="preserve">Report ISMS performance and significant risks to Top Management</w:t>
      </w:r>
    </w:p>
    <w:p>
      <w:pPr>
        <w:pStyle w:val="ListParagraph"/>
        <w:numPr>
          <w:ilvl w:val="0"/>
          <w:numId w:val="2"/>
        </w:numPr>
        <w:spacing w:after="50" w:before="50"/>
      </w:pPr>
      <w:r>
        <w:rPr>
          <w:rFonts w:ascii="Arial" w:cs="Arial" w:eastAsia="Arial" w:hAnsi="Arial"/>
          <w:sz w:val="22"/>
          <w:szCs w:val="22"/>
        </w:rPr>
        <w:t xml:space="preserve">Chair the Information Security Management Forum</w:t>
      </w:r>
    </w:p>
    <w:p>
      <w:pPr>
        <w:pStyle w:val="ListParagraph"/>
        <w:numPr>
          <w:ilvl w:val="0"/>
          <w:numId w:val="2"/>
        </w:numPr>
        <w:spacing w:after="50" w:before="50"/>
      </w:pPr>
      <w:r>
        <w:rPr>
          <w:rFonts w:ascii="Arial" w:cs="Arial" w:eastAsia="Arial" w:hAnsi="Arial"/>
          <w:sz w:val="22"/>
          <w:szCs w:val="22"/>
        </w:rPr>
        <w:t xml:space="preserve">Lead or coordinate internal audits and ensure corrective actions are completed (Clause 9.2, 10.1)</w:t>
      </w:r>
    </w:p>
    <w:p>
      <w:pPr>
        <w:pStyle w:val="ListParagraph"/>
        <w:numPr>
          <w:ilvl w:val="0"/>
          <w:numId w:val="2"/>
        </w:numPr>
        <w:spacing w:after="50" w:before="50"/>
      </w:pPr>
      <w:r>
        <w:rPr>
          <w:rFonts w:ascii="Arial" w:cs="Arial" w:eastAsia="Arial" w:hAnsi="Arial"/>
          <w:sz w:val="22"/>
          <w:szCs w:val="22"/>
        </w:rPr>
        <w:t xml:space="preserve">Maintain contacts with relevant authorities, CERTs, and special interest groups (A.5.5, A.5.6)</w:t>
      </w:r>
    </w:p>
    <w:p>
      <w:pPr>
        <w:spacing w:after="90" w:before="0"/>
      </w:pPr>
      <w:r>
        <w:t xml:space="preserve"/>
      </w:r>
    </w:p>
    <w:p>
      <w:pPr>
        <w:pStyle w:val="Heading2"/>
        <w:spacing w:after="100" w:before="200"/>
      </w:pPr>
      <w:r>
        <w:rPr>
          <w:rFonts w:ascii="Arial" w:cs="Arial" w:eastAsia="Arial" w:hAnsi="Arial"/>
          <w:b/>
          <w:bCs/>
          <w:color w:val="2E75B6"/>
          <w:sz w:val="24"/>
          <w:szCs w:val="24"/>
        </w:rPr>
        <w:t xml:space="preserve">7.3 Department Heads and Line Managers</w:t>
      </w:r>
    </w:p>
    <w:p>
      <w:pPr>
        <w:pStyle w:val="ListParagraph"/>
        <w:numPr>
          <w:ilvl w:val="0"/>
          <w:numId w:val="2"/>
        </w:numPr>
        <w:spacing w:after="50" w:before="50"/>
      </w:pPr>
      <w:r>
        <w:rPr>
          <w:rFonts w:ascii="Arial" w:cs="Arial" w:eastAsia="Arial" w:hAnsi="Arial"/>
          <w:sz w:val="22"/>
          <w:szCs w:val="22"/>
        </w:rPr>
        <w:t xml:space="preserve">Ensure all personnel within their function are aware of and comply with this Policy and related IS procedures</w:t>
      </w:r>
    </w:p>
    <w:p>
      <w:pPr>
        <w:pStyle w:val="ListParagraph"/>
        <w:numPr>
          <w:ilvl w:val="0"/>
          <w:numId w:val="2"/>
        </w:numPr>
        <w:spacing w:after="50" w:before="50"/>
      </w:pPr>
      <w:r>
        <w:rPr>
          <w:rFonts w:ascii="Arial" w:cs="Arial" w:eastAsia="Arial" w:hAnsi="Arial"/>
          <w:sz w:val="22"/>
          <w:szCs w:val="22"/>
        </w:rPr>
        <w:t xml:space="preserve">Identify information assets and assign asset ownership within their area of responsibility (A.5.9)</w:t>
      </w:r>
    </w:p>
    <w:p>
      <w:pPr>
        <w:pStyle w:val="ListParagraph"/>
        <w:numPr>
          <w:ilvl w:val="0"/>
          <w:numId w:val="2"/>
        </w:numPr>
        <w:spacing w:after="50" w:before="50"/>
      </w:pPr>
      <w:r>
        <w:rPr>
          <w:rFonts w:ascii="Arial" w:cs="Arial" w:eastAsia="Arial" w:hAnsi="Arial"/>
          <w:sz w:val="22"/>
          <w:szCs w:val="22"/>
        </w:rPr>
        <w:t xml:space="preserve">Report information security incidents and near-misses promptly (A.5.24–A.5.26)</w:t>
      </w:r>
    </w:p>
    <w:p>
      <w:pPr>
        <w:pStyle w:val="ListParagraph"/>
        <w:numPr>
          <w:ilvl w:val="0"/>
          <w:numId w:val="2"/>
        </w:numPr>
        <w:spacing w:after="50" w:before="50"/>
      </w:pPr>
      <w:r>
        <w:rPr>
          <w:rFonts w:ascii="Arial" w:cs="Arial" w:eastAsia="Arial" w:hAnsi="Arial"/>
          <w:sz w:val="22"/>
          <w:szCs w:val="22"/>
        </w:rPr>
        <w:t xml:space="preserve">Ensure new staff complete IS induction and training before accessing systems (A.6.1, A.6.3)</w:t>
      </w:r>
    </w:p>
    <w:p>
      <w:pPr>
        <w:spacing w:after="90" w:before="0"/>
      </w:pPr>
      <w:r>
        <w:t xml:space="preserve"/>
      </w:r>
    </w:p>
    <w:p>
      <w:pPr>
        <w:pStyle w:val="Heading2"/>
        <w:spacing w:after="100" w:before="200"/>
      </w:pPr>
      <w:r>
        <w:rPr>
          <w:rFonts w:ascii="Arial" w:cs="Arial" w:eastAsia="Arial" w:hAnsi="Arial"/>
          <w:b/>
          <w:bCs/>
          <w:color w:val="2E75B6"/>
          <w:sz w:val="24"/>
          <w:szCs w:val="24"/>
        </w:rPr>
        <w:t xml:space="preserve">7.4 IT / Infrastructure Manager</w:t>
      </w:r>
    </w:p>
    <w:p>
      <w:pPr>
        <w:pStyle w:val="ListParagraph"/>
        <w:numPr>
          <w:ilvl w:val="0"/>
          <w:numId w:val="2"/>
        </w:numPr>
        <w:spacing w:after="50" w:before="50"/>
      </w:pPr>
      <w:r>
        <w:rPr>
          <w:rFonts w:ascii="Arial" w:cs="Arial" w:eastAsia="Arial" w:hAnsi="Arial"/>
          <w:sz w:val="22"/>
          <w:szCs w:val="22"/>
        </w:rPr>
        <w:t xml:space="preserve">Implement and maintain technical security controls across systems and infrastructure</w:t>
      </w:r>
    </w:p>
    <w:p>
      <w:pPr>
        <w:pStyle w:val="ListParagraph"/>
        <w:numPr>
          <w:ilvl w:val="0"/>
          <w:numId w:val="2"/>
        </w:numPr>
        <w:spacing w:after="50" w:before="50"/>
      </w:pPr>
      <w:r>
        <w:rPr>
          <w:rFonts w:ascii="Arial" w:cs="Arial" w:eastAsia="Arial" w:hAnsi="Arial"/>
          <w:sz w:val="22"/>
          <w:szCs w:val="22"/>
        </w:rPr>
        <w:t xml:space="preserve">Manage access rights, user accounts, and privileged access (A.5.15–A.5.18, A.8.2)</w:t>
      </w:r>
    </w:p>
    <w:p>
      <w:pPr>
        <w:pStyle w:val="ListParagraph"/>
        <w:numPr>
          <w:ilvl w:val="0"/>
          <w:numId w:val="2"/>
        </w:numPr>
        <w:spacing w:after="50" w:before="50"/>
      </w:pPr>
      <w:r>
        <w:rPr>
          <w:rFonts w:ascii="Arial" w:cs="Arial" w:eastAsia="Arial" w:hAnsi="Arial"/>
          <w:sz w:val="22"/>
          <w:szCs w:val="22"/>
        </w:rPr>
        <w:t xml:space="preserve">Ensure vulnerability management, patching, and secure configuration are maintained (A.8.8, A.8.9)</w:t>
      </w:r>
    </w:p>
    <w:p>
      <w:pPr>
        <w:pStyle w:val="ListParagraph"/>
        <w:numPr>
          <w:ilvl w:val="0"/>
          <w:numId w:val="2"/>
        </w:numPr>
        <w:spacing w:after="50" w:before="50"/>
      </w:pPr>
      <w:r>
        <w:rPr>
          <w:rFonts w:ascii="Arial" w:cs="Arial" w:eastAsia="Arial" w:hAnsi="Arial"/>
          <w:sz w:val="22"/>
          <w:szCs w:val="22"/>
        </w:rPr>
        <w:t xml:space="preserve">Maintain system logs, monitoring, and capacity management (A.8.15, A.8.16, A.8.6)</w:t>
      </w:r>
    </w:p>
    <w:p>
      <w:pPr>
        <w:spacing w:after="90" w:before="0"/>
      </w:pPr>
      <w:r>
        <w:t xml:space="preserve"/>
      </w:r>
    </w:p>
    <w:p>
      <w:pPr>
        <w:pStyle w:val="Heading2"/>
        <w:spacing w:after="100" w:before="200"/>
      </w:pPr>
      <w:r>
        <w:rPr>
          <w:rFonts w:ascii="Arial" w:cs="Arial" w:eastAsia="Arial" w:hAnsi="Arial"/>
          <w:b/>
          <w:bCs/>
          <w:color w:val="2E75B6"/>
          <w:sz w:val="24"/>
          <w:szCs w:val="24"/>
        </w:rPr>
        <w:t xml:space="preserve">7.5 Human Resources Manager</w:t>
      </w:r>
    </w:p>
    <w:p>
      <w:pPr>
        <w:pStyle w:val="ListParagraph"/>
        <w:numPr>
          <w:ilvl w:val="0"/>
          <w:numId w:val="2"/>
        </w:numPr>
        <w:spacing w:after="50" w:before="50"/>
      </w:pPr>
      <w:r>
        <w:rPr>
          <w:rFonts w:ascii="Arial" w:cs="Arial" w:eastAsia="Arial" w:hAnsi="Arial"/>
          <w:sz w:val="22"/>
          <w:szCs w:val="22"/>
        </w:rPr>
        <w:t xml:space="preserve">Ensure IS background verification is conducted for all new employees and contractors (A.6.1)</w:t>
      </w:r>
    </w:p>
    <w:p>
      <w:pPr>
        <w:pStyle w:val="ListParagraph"/>
        <w:numPr>
          <w:ilvl w:val="0"/>
          <w:numId w:val="2"/>
        </w:numPr>
        <w:spacing w:after="50" w:before="50"/>
      </w:pPr>
      <w:r>
        <w:rPr>
          <w:rFonts w:ascii="Arial" w:cs="Arial" w:eastAsia="Arial" w:hAnsi="Arial"/>
          <w:sz w:val="22"/>
          <w:szCs w:val="22"/>
        </w:rPr>
        <w:t xml:space="preserve">Ensure IS terms and conditions are included in employment contracts (A.6.2)</w:t>
      </w:r>
    </w:p>
    <w:p>
      <w:pPr>
        <w:pStyle w:val="ListParagraph"/>
        <w:numPr>
          <w:ilvl w:val="0"/>
          <w:numId w:val="2"/>
        </w:numPr>
        <w:spacing w:after="50" w:before="50"/>
      </w:pPr>
      <w:r>
        <w:rPr>
          <w:rFonts w:ascii="Arial" w:cs="Arial" w:eastAsia="Arial" w:hAnsi="Arial"/>
          <w:sz w:val="22"/>
          <w:szCs w:val="22"/>
        </w:rPr>
        <w:t xml:space="preserve">Coordinate IS awareness training and maintain training records (Clause 7.2, A.6.3)</w:t>
      </w:r>
    </w:p>
    <w:p>
      <w:pPr>
        <w:pStyle w:val="ListParagraph"/>
        <w:numPr>
          <w:ilvl w:val="0"/>
          <w:numId w:val="2"/>
        </w:numPr>
        <w:spacing w:after="50" w:before="50"/>
      </w:pPr>
      <w:r>
        <w:rPr>
          <w:rFonts w:ascii="Arial" w:cs="Arial" w:eastAsia="Arial" w:hAnsi="Arial"/>
          <w:sz w:val="22"/>
          <w:szCs w:val="22"/>
        </w:rPr>
        <w:t xml:space="preserve">Manage the IS aspects of employee termination and role changes (A.6.5)</w:t>
      </w:r>
    </w:p>
    <w:p>
      <w:pPr>
        <w:spacing w:after="90" w:before="0"/>
      </w:pPr>
      <w:r>
        <w:t xml:space="preserve"/>
      </w:r>
    </w:p>
    <w:p>
      <w:pPr>
        <w:pStyle w:val="Heading2"/>
        <w:spacing w:after="100" w:before="200"/>
      </w:pPr>
      <w:r>
        <w:rPr>
          <w:rFonts w:ascii="Arial" w:cs="Arial" w:eastAsia="Arial" w:hAnsi="Arial"/>
          <w:b/>
          <w:bCs/>
          <w:color w:val="2E75B6"/>
          <w:sz w:val="24"/>
          <w:szCs w:val="24"/>
        </w:rPr>
        <w:t xml:space="preserve">7.6 All Employees and Contractors</w:t>
      </w:r>
    </w:p>
    <w:p>
      <w:pPr>
        <w:pStyle w:val="ListParagraph"/>
        <w:numPr>
          <w:ilvl w:val="0"/>
          <w:numId w:val="2"/>
        </w:numPr>
        <w:spacing w:after="50" w:before="50"/>
      </w:pPr>
      <w:r>
        <w:rPr>
          <w:rFonts w:ascii="Arial" w:cs="Arial" w:eastAsia="Arial" w:hAnsi="Arial"/>
          <w:sz w:val="22"/>
          <w:szCs w:val="22"/>
        </w:rPr>
        <w:t xml:space="preserve">Read, understand, and comply with this Policy and all related IS policies and procedures</w:t>
      </w:r>
    </w:p>
    <w:p>
      <w:pPr>
        <w:pStyle w:val="ListParagraph"/>
        <w:numPr>
          <w:ilvl w:val="0"/>
          <w:numId w:val="2"/>
        </w:numPr>
        <w:spacing w:after="50" w:before="50"/>
      </w:pPr>
      <w:r>
        <w:rPr>
          <w:rFonts w:ascii="Arial" w:cs="Arial" w:eastAsia="Arial" w:hAnsi="Arial"/>
          <w:sz w:val="22"/>
          <w:szCs w:val="22"/>
        </w:rPr>
        <w:t xml:space="preserve">Complete mandatory IS awareness training within required timescales (A.6.3)</w:t>
      </w:r>
    </w:p>
    <w:p>
      <w:pPr>
        <w:pStyle w:val="ListParagraph"/>
        <w:numPr>
          <w:ilvl w:val="0"/>
          <w:numId w:val="2"/>
        </w:numPr>
        <w:spacing w:after="50" w:before="50"/>
      </w:pPr>
      <w:r>
        <w:rPr>
          <w:rFonts w:ascii="Arial" w:cs="Arial" w:eastAsia="Arial" w:hAnsi="Arial"/>
          <w:sz w:val="22"/>
          <w:szCs w:val="22"/>
        </w:rPr>
        <w:t xml:space="preserve">Report suspected information security incidents, vulnerabilities, or near-misses immediately to the IS Manager (A.6.8)</w:t>
      </w:r>
    </w:p>
    <w:p>
      <w:pPr>
        <w:pStyle w:val="ListParagraph"/>
        <w:numPr>
          <w:ilvl w:val="0"/>
          <w:numId w:val="2"/>
        </w:numPr>
        <w:spacing w:after="50" w:before="50"/>
      </w:pPr>
      <w:r>
        <w:rPr>
          <w:rFonts w:ascii="Arial" w:cs="Arial" w:eastAsia="Arial" w:hAnsi="Arial"/>
          <w:sz w:val="22"/>
          <w:szCs w:val="22"/>
        </w:rPr>
        <w:t xml:space="preserve">Maintain physical security — clear desk, clear screen, secure disposal of documents (A.7.7, A.7.8)</w:t>
      </w:r>
    </w:p>
    <w:p>
      <w:pPr>
        <w:pStyle w:val="ListParagraph"/>
        <w:numPr>
          <w:ilvl w:val="0"/>
          <w:numId w:val="2"/>
        </w:numPr>
        <w:spacing w:after="50" w:before="50"/>
      </w:pPr>
      <w:r>
        <w:rPr>
          <w:rFonts w:ascii="Arial" w:cs="Arial" w:eastAsia="Arial" w:hAnsi="Arial"/>
          <w:sz w:val="22"/>
          <w:szCs w:val="22"/>
        </w:rPr>
        <w:t xml:space="preserve">Use the Organization's information assets only for authorised business purposes (A.5.10)</w:t>
      </w:r>
    </w:p>
    <w:p>
      <w:pPr>
        <w:pStyle w:val="ListParagraph"/>
        <w:numPr>
          <w:ilvl w:val="0"/>
          <w:numId w:val="2"/>
        </w:numPr>
        <w:spacing w:after="50" w:before="50"/>
      </w:pPr>
      <w:r>
        <w:rPr>
          <w:rFonts w:ascii="Arial" w:cs="Arial" w:eastAsia="Arial" w:hAnsi="Arial"/>
          <w:sz w:val="22"/>
          <w:szCs w:val="22"/>
        </w:rPr>
        <w:t xml:space="preserve">Protect passwords, credentials, and authentication tokens (A.5.17)</w:t>
      </w:r>
    </w:p>
    <w:p>
      <w:pPr>
        <w:spacing w:after="180" w:before="0"/>
      </w:pPr>
      <w:r>
        <w:t xml:space="preserve"/>
      </w:r>
    </w:p>
    <w:p>
      <w:pPr>
        <w:pStyle w:val="Heading1"/>
        <w:spacing w:after="140" w:before="280"/>
      </w:pPr>
      <w:r>
        <w:rPr>
          <w:rFonts w:ascii="Arial" w:cs="Arial" w:eastAsia="Arial" w:hAnsi="Arial"/>
          <w:b/>
          <w:bCs/>
          <w:color w:val="1F3864"/>
          <w:sz w:val="28"/>
          <w:szCs w:val="28"/>
        </w:rPr>
        <w:t xml:space="preserve">8. Key Information Security Requirements</w:t>
      </w:r>
    </w:p>
    <w:p>
      <w:pPr>
        <w:spacing w:after="60" w:before="60"/>
      </w:pPr>
      <w:r>
        <w:rPr>
          <w:rFonts w:ascii="Arial" w:cs="Arial" w:eastAsia="Arial" w:hAnsi="Arial"/>
          <w:sz w:val="22"/>
          <w:szCs w:val="22"/>
        </w:rPr>
        <w:t xml:space="preserve">The Organization shall adhere to the following requirements across all in-scope activities. Each requirement maps to specific ISO/IEC 27001:2022 Annex A controls implemented through Tier 2 policies and operational procedures.</w:t>
      </w:r>
    </w:p>
    <w:p>
      <w:pPr>
        <w:spacing w:after="9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rPr>
          <w:tblHeader/>
        </w:trPr>
        <w:tc>
          <w:tcPr>
            <w:tcW w:type="dxa" w:w="2800"/>
            <w:tcBorders>
              <w:top w:val="single" w:color="AAAAAA" w:sz="1"/>
              <w:left w:val="single" w:color="AAAAAA" w:sz="1"/>
              <w:bottom w:val="single" w:color="AAAAAA" w:sz="1"/>
              <w:right w:val="single" w:color="AAAAAA" w:sz="1"/>
            </w:tcBorders>
            <w:shd w:fill="2E75B6" w:val="clear"/>
            <w:tcMar>
              <w:top w:type="dxa" w:w="70"/>
              <w:left w:type="dxa" w:w="110"/>
              <w:bottom w:type="dxa" w:w="70"/>
              <w:right w:type="dxa" w:w="110"/>
            </w:tcMar>
          </w:tcPr>
          <w:p>
            <w:r>
              <w:rPr>
                <w:rFonts w:ascii="Arial" w:cs="Arial" w:eastAsia="Arial" w:hAnsi="Arial"/>
                <w:b/>
                <w:bCs/>
                <w:color w:val="FFFFFF"/>
                <w:sz w:val="20"/>
                <w:szCs w:val="20"/>
              </w:rPr>
              <w:t xml:space="preserve">Requirement Area</w:t>
            </w:r>
          </w:p>
        </w:tc>
        <w:tc>
          <w:tcPr>
            <w:tcW w:type="dxa" w:w="4160"/>
            <w:tcBorders>
              <w:top w:val="single" w:color="AAAAAA" w:sz="1"/>
              <w:left w:val="single" w:color="AAAAAA" w:sz="1"/>
              <w:bottom w:val="single" w:color="AAAAAA" w:sz="1"/>
              <w:right w:val="single" w:color="AAAAAA" w:sz="1"/>
            </w:tcBorders>
            <w:shd w:fill="2E75B6" w:val="clear"/>
            <w:tcMar>
              <w:top w:type="dxa" w:w="70"/>
              <w:left w:type="dxa" w:w="110"/>
              <w:bottom w:type="dxa" w:w="70"/>
              <w:right w:type="dxa" w:w="110"/>
            </w:tcMar>
          </w:tcPr>
          <w:p>
            <w:r>
              <w:rPr>
                <w:rFonts w:ascii="Arial" w:cs="Arial" w:eastAsia="Arial" w:hAnsi="Arial"/>
                <w:b/>
                <w:bCs/>
                <w:color w:val="FFFFFF"/>
                <w:sz w:val="20"/>
                <w:szCs w:val="20"/>
              </w:rPr>
              <w:t xml:space="preserve">Policy Statement</w:t>
            </w:r>
          </w:p>
        </w:tc>
        <w:tc>
          <w:tcPr>
            <w:tcW w:type="dxa" w:w="2400"/>
            <w:tcBorders>
              <w:top w:val="single" w:color="AAAAAA" w:sz="1"/>
              <w:left w:val="single" w:color="AAAAAA" w:sz="1"/>
              <w:bottom w:val="single" w:color="AAAAAA" w:sz="1"/>
              <w:right w:val="single" w:color="AAAAAA" w:sz="1"/>
            </w:tcBorders>
            <w:shd w:fill="2E75B6" w:val="clear"/>
            <w:tcMar>
              <w:top w:type="dxa" w:w="70"/>
              <w:left w:type="dxa" w:w="110"/>
              <w:bottom w:type="dxa" w:w="70"/>
              <w:right w:type="dxa" w:w="110"/>
            </w:tcMar>
          </w:tcPr>
          <w:p>
            <w:r>
              <w:rPr>
                <w:rFonts w:ascii="Arial" w:cs="Arial" w:eastAsia="Arial" w:hAnsi="Arial"/>
                <w:b/>
                <w:bCs/>
                <w:color w:val="FFFFFF"/>
                <w:sz w:val="20"/>
                <w:szCs w:val="20"/>
              </w:rPr>
              <w:t xml:space="preserve">Annex A Controls</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Risk Management</w:t>
            </w:r>
          </w:p>
        </w:tc>
        <w:tc>
          <w:tcPr>
            <w:tcW w:type="dxa" w:w="41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The Organization shall conduct formal information security risk assessments at planned intervals and when significant changes occur. Risks shall be treated in accordance with the risk treatment plan.</w:t>
            </w:r>
          </w:p>
        </w:tc>
        <w:tc>
          <w:tcPr>
            <w:tcW w:type="dxa" w:w="24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Cl.6.1.2, 6.1.3, 8.2, 8.3</w:t>
            </w:r>
          </w:p>
        </w:tc>
      </w:tr>
      <w:tr>
        <w:tc>
          <w:tcPr>
            <w:tcW w:type="dxa" w:w="28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Access Control</w:t>
            </w:r>
          </w:p>
        </w:tc>
        <w:tc>
          <w:tcPr>
            <w:tcW w:type="dxa" w:w="416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Access to information assets shall be granted based on the principles of least privilege and need-to-know. All access shall be authorised, documented, and reviewed periodically.</w:t>
            </w:r>
          </w:p>
        </w:tc>
        <w:tc>
          <w:tcPr>
            <w:tcW w:type="dxa" w:w="24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A.5.15, 5.16, 5.17, 5.18</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Asset Management</w:t>
            </w:r>
          </w:p>
        </w:tc>
        <w:tc>
          <w:tcPr>
            <w:tcW w:type="dxa" w:w="41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All information assets shall be inventoried, classified, and assigned an owner responsible for their protection in accordance with classification level.</w:t>
            </w:r>
          </w:p>
        </w:tc>
        <w:tc>
          <w:tcPr>
            <w:tcW w:type="dxa" w:w="24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A.5.9, 5.10, 5.11, 5.12</w:t>
            </w:r>
          </w:p>
        </w:tc>
      </w:tr>
      <w:tr>
        <w:tc>
          <w:tcPr>
            <w:tcW w:type="dxa" w:w="28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Cryptography</w:t>
            </w:r>
          </w:p>
        </w:tc>
        <w:tc>
          <w:tcPr>
            <w:tcW w:type="dxa" w:w="416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Cryptographic controls shall be used to protect the confidentiality, integrity, and authenticity of information in transit and at rest where risk assessment indicates this is required.</w:t>
            </w:r>
          </w:p>
        </w:tc>
        <w:tc>
          <w:tcPr>
            <w:tcW w:type="dxa" w:w="24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A.8.24</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Physical &amp; Environmental Security</w:t>
            </w:r>
          </w:p>
        </w:tc>
        <w:tc>
          <w:tcPr>
            <w:tcW w:type="dxa" w:w="41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Physical access to areas containing sensitive systems or information shall be controlled and monitored. Equipment shall be protected from physical threats.</w:t>
            </w:r>
          </w:p>
        </w:tc>
        <w:tc>
          <w:tcPr>
            <w:tcW w:type="dxa" w:w="24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A.7.1–7.13</w:t>
            </w:r>
          </w:p>
        </w:tc>
      </w:tr>
      <w:tr>
        <w:tc>
          <w:tcPr>
            <w:tcW w:type="dxa" w:w="28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Operations Security</w:t>
            </w:r>
          </w:p>
        </w:tc>
        <w:tc>
          <w:tcPr>
            <w:tcW w:type="dxa" w:w="416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Operational procedures shall be documented. Change management, capacity management, malware protection, and logging shall be implemented and maintained.</w:t>
            </w:r>
          </w:p>
        </w:tc>
        <w:tc>
          <w:tcPr>
            <w:tcW w:type="dxa" w:w="24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A.8.1–8.16</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Supplier Security</w:t>
            </w:r>
          </w:p>
        </w:tc>
        <w:tc>
          <w:tcPr>
            <w:tcW w:type="dxa" w:w="41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All suppliers with access to the Organization's information assets shall be subject to IS requirements defined in formal contracts and subject to ongoing monitoring.</w:t>
            </w:r>
          </w:p>
        </w:tc>
        <w:tc>
          <w:tcPr>
            <w:tcW w:type="dxa" w:w="24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A.5.19–5.23</w:t>
            </w:r>
          </w:p>
        </w:tc>
      </w:tr>
      <w:tr>
        <w:tc>
          <w:tcPr>
            <w:tcW w:type="dxa" w:w="28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Incident Management</w:t>
            </w:r>
          </w:p>
        </w:tc>
        <w:tc>
          <w:tcPr>
            <w:tcW w:type="dxa" w:w="416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Information security events and incidents shall be reported, assessed, and responded to in a timely manner. All incidents shall be documented and lessons learned applied.</w:t>
            </w:r>
          </w:p>
        </w:tc>
        <w:tc>
          <w:tcPr>
            <w:tcW w:type="dxa" w:w="24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A.5.24–5.28</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Business Continuity</w:t>
            </w:r>
          </w:p>
        </w:tc>
        <w:tc>
          <w:tcPr>
            <w:tcW w:type="dxa" w:w="41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The Organization shall maintain business continuity and ICT recovery plans to ensure the availability of critical information systems following a disruptive event.</w:t>
            </w:r>
          </w:p>
        </w:tc>
        <w:tc>
          <w:tcPr>
            <w:tcW w:type="dxa" w:w="24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A.5.29, 5.30</w:t>
            </w:r>
          </w:p>
        </w:tc>
      </w:tr>
      <w:tr>
        <w:tc>
          <w:tcPr>
            <w:tcW w:type="dxa" w:w="28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Human Resources Security</w:t>
            </w:r>
          </w:p>
        </w:tc>
        <w:tc>
          <w:tcPr>
            <w:tcW w:type="dxa" w:w="416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All personnel shall undergo IS awareness training. IS responsibilities shall be incorporated into employment terms. Access shall be revoked upon termination.</w:t>
            </w:r>
          </w:p>
        </w:tc>
        <w:tc>
          <w:tcPr>
            <w:tcW w:type="dxa" w:w="24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A.6.1–6.8</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Legal &amp; Regulatory Compliance</w:t>
            </w:r>
          </w:p>
        </w:tc>
        <w:tc>
          <w:tcPr>
            <w:tcW w:type="dxa" w:w="41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The Organization shall identify and comply with all applicable legal, regulatory, and contractual IS requirements. Compliance status shall be reviewed at least annually.</w:t>
            </w:r>
          </w:p>
        </w:tc>
        <w:tc>
          <w:tcPr>
            <w:tcW w:type="dxa" w:w="24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A.5.31–5.36</w:t>
            </w:r>
          </w:p>
        </w:tc>
      </w:tr>
      <w:tr>
        <w:tc>
          <w:tcPr>
            <w:tcW w:type="dxa" w:w="28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Secure Development</w:t>
            </w:r>
          </w:p>
        </w:tc>
        <w:tc>
          <w:tcPr>
            <w:tcW w:type="dxa" w:w="416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Software developed by or for the Organization shall follow secure development principles throughout the development lifecycle.</w:t>
            </w:r>
          </w:p>
        </w:tc>
        <w:tc>
          <w:tcPr>
            <w:tcW w:type="dxa" w:w="24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A.8.25–8.31</w:t>
            </w:r>
          </w:p>
        </w:tc>
      </w:tr>
    </w:tbl>
    <w:p>
      <w:pPr>
        <w:spacing w:after="180" w:before="0"/>
      </w:pPr>
      <w:r>
        <w:t xml:space="preserve"/>
      </w:r>
    </w:p>
    <w:p>
      <w:pPr>
        <w:pStyle w:val="Heading1"/>
        <w:spacing w:after="140" w:before="280"/>
      </w:pPr>
      <w:r>
        <w:rPr>
          <w:rFonts w:ascii="Arial" w:cs="Arial" w:eastAsia="Arial" w:hAnsi="Arial"/>
          <w:b/>
          <w:bCs/>
          <w:color w:val="1F3864"/>
          <w:sz w:val="28"/>
          <w:szCs w:val="28"/>
        </w:rPr>
        <w:t xml:space="preserve">9. Risk Assessment and Acceptance Criteria (Clause 6.1.2)</w:t>
      </w:r>
    </w:p>
    <w:p>
      <w:pPr>
        <w:spacing w:after="60" w:before="60"/>
      </w:pPr>
      <w:r>
        <w:rPr>
          <w:rFonts w:ascii="Arial" w:cs="Arial" w:eastAsia="Arial" w:hAnsi="Arial"/>
          <w:sz w:val="22"/>
          <w:szCs w:val="22"/>
        </w:rPr>
        <w:t xml:space="preserve">In accordance with ISO/IEC 27001:2022 Clause 6.1.2, the Organization has established the following criteria for conducting information security risk assessments and accepting residual risk.</w:t>
      </w:r>
    </w:p>
    <w:p>
      <w:pPr>
        <w:spacing w:after="90" w:before="0"/>
      </w:pPr>
      <w:r>
        <w:t xml:space="preserve"/>
      </w:r>
    </w:p>
    <w:p>
      <w:pPr>
        <w:pStyle w:val="Heading2"/>
        <w:spacing w:after="100" w:before="200"/>
      </w:pPr>
      <w:r>
        <w:rPr>
          <w:rFonts w:ascii="Arial" w:cs="Arial" w:eastAsia="Arial" w:hAnsi="Arial"/>
          <w:b/>
          <w:bCs/>
          <w:color w:val="2E75B6"/>
          <w:sz w:val="24"/>
          <w:szCs w:val="24"/>
        </w:rPr>
        <w:t xml:space="preserve">9.1 Risk Evaluation Criteria</w:t>
      </w:r>
    </w:p>
    <w:p>
      <w:pPr>
        <w:pStyle w:val="ListParagraph"/>
        <w:numPr>
          <w:ilvl w:val="0"/>
          <w:numId w:val="2"/>
        </w:numPr>
        <w:spacing w:after="50" w:before="50"/>
      </w:pPr>
      <w:r>
        <w:rPr>
          <w:rFonts w:ascii="Arial" w:cs="Arial" w:eastAsia="Arial" w:hAnsi="Arial"/>
          <w:sz w:val="22"/>
          <w:szCs w:val="22"/>
        </w:rPr>
        <w:t xml:space="preserve">Risk assessments shall use a Likelihood × Impact methodology with scores from 1 (Very Low) to 5 (Critical)</w:t>
      </w:r>
    </w:p>
    <w:p>
      <w:pPr>
        <w:pStyle w:val="ListParagraph"/>
        <w:numPr>
          <w:ilvl w:val="0"/>
          <w:numId w:val="2"/>
        </w:numPr>
        <w:spacing w:after="50" w:before="50"/>
      </w:pPr>
      <w:r>
        <w:rPr>
          <w:rFonts w:ascii="Arial" w:cs="Arial" w:eastAsia="Arial" w:hAnsi="Arial"/>
          <w:sz w:val="22"/>
          <w:szCs w:val="22"/>
        </w:rPr>
        <w:t xml:space="preserve">Risk Score = Likelihood (1–5) × Impact (1–5); maximum score = 25</w:t>
      </w:r>
    </w:p>
    <w:p>
      <w:pPr>
        <w:pStyle w:val="ListParagraph"/>
        <w:numPr>
          <w:ilvl w:val="0"/>
          <w:numId w:val="2"/>
        </w:numPr>
        <w:spacing w:after="50" w:before="50"/>
      </w:pPr>
      <w:r>
        <w:rPr>
          <w:rFonts w:ascii="Arial" w:cs="Arial" w:eastAsia="Arial" w:hAnsi="Arial"/>
          <w:sz w:val="22"/>
          <w:szCs w:val="22"/>
        </w:rPr>
        <w:t xml:space="preserve">Risk assessments shall be conducted at least annually and when significant changes occur (Clause 8.2)</w:t>
      </w:r>
    </w:p>
    <w:p>
      <w:pPr>
        <w:pStyle w:val="ListParagraph"/>
        <w:numPr>
          <w:ilvl w:val="0"/>
          <w:numId w:val="2"/>
        </w:numPr>
        <w:spacing w:after="50" w:before="50"/>
      </w:pPr>
      <w:r>
        <w:rPr>
          <w:rFonts w:ascii="Arial" w:cs="Arial" w:eastAsia="Arial" w:hAnsi="Arial"/>
          <w:sz w:val="22"/>
          <w:szCs w:val="22"/>
        </w:rPr>
        <w:t xml:space="preserve">Asset owners are responsible for maintaining risk information relevant to their assets</w:t>
      </w:r>
    </w:p>
    <w:p>
      <w:pPr>
        <w:spacing w:after="9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760"/>
        <w:gridCol w:w="1600"/>
      </w:tblGrid>
      <w:tr>
        <w:trPr>
          <w:tblHeader/>
        </w:trPr>
        <w:tc>
          <w:tcPr>
            <w:tcW w:type="dxa" w:w="2000"/>
            <w:tcBorders>
              <w:top w:val="single" w:color="AAAAAA" w:sz="1"/>
              <w:left w:val="single" w:color="AAAAAA" w:sz="1"/>
              <w:bottom w:val="single" w:color="AAAAAA" w:sz="1"/>
              <w:right w:val="single" w:color="AAAAAA" w:sz="1"/>
            </w:tcBorders>
            <w:shd w:fill="2E75B6" w:val="clear"/>
            <w:tcMar>
              <w:top w:type="dxa" w:w="70"/>
              <w:left w:type="dxa" w:w="110"/>
              <w:bottom w:type="dxa" w:w="70"/>
              <w:right w:type="dxa" w:w="110"/>
            </w:tcMar>
          </w:tcPr>
          <w:p>
            <w:r>
              <w:rPr>
                <w:rFonts w:ascii="Arial" w:cs="Arial" w:eastAsia="Arial" w:hAnsi="Arial"/>
                <w:b/>
                <w:bCs/>
                <w:color w:val="FFFFFF"/>
                <w:sz w:val="20"/>
                <w:szCs w:val="20"/>
              </w:rPr>
              <w:t xml:space="preserve">Risk Score</w:t>
            </w:r>
          </w:p>
        </w:tc>
        <w:tc>
          <w:tcPr>
            <w:tcW w:type="dxa" w:w="2000"/>
            <w:tcBorders>
              <w:top w:val="single" w:color="AAAAAA" w:sz="1"/>
              <w:left w:val="single" w:color="AAAAAA" w:sz="1"/>
              <w:bottom w:val="single" w:color="AAAAAA" w:sz="1"/>
              <w:right w:val="single" w:color="AAAAAA" w:sz="1"/>
            </w:tcBorders>
            <w:shd w:fill="2E75B6" w:val="clear"/>
            <w:tcMar>
              <w:top w:type="dxa" w:w="70"/>
              <w:left w:type="dxa" w:w="110"/>
              <w:bottom w:type="dxa" w:w="70"/>
              <w:right w:type="dxa" w:w="110"/>
            </w:tcMar>
          </w:tcPr>
          <w:p>
            <w:r>
              <w:rPr>
                <w:rFonts w:ascii="Arial" w:cs="Arial" w:eastAsia="Arial" w:hAnsi="Arial"/>
                <w:b/>
                <w:bCs/>
                <w:color w:val="FFFFFF"/>
                <w:sz w:val="20"/>
                <w:szCs w:val="20"/>
              </w:rPr>
              <w:t xml:space="preserve">Risk Level</w:t>
            </w:r>
          </w:p>
        </w:tc>
        <w:tc>
          <w:tcPr>
            <w:tcW w:type="dxa" w:w="3760"/>
            <w:tcBorders>
              <w:top w:val="single" w:color="AAAAAA" w:sz="1"/>
              <w:left w:val="single" w:color="AAAAAA" w:sz="1"/>
              <w:bottom w:val="single" w:color="AAAAAA" w:sz="1"/>
              <w:right w:val="single" w:color="AAAAAA" w:sz="1"/>
            </w:tcBorders>
            <w:shd w:fill="2E75B6" w:val="clear"/>
            <w:tcMar>
              <w:top w:type="dxa" w:w="70"/>
              <w:left w:type="dxa" w:w="110"/>
              <w:bottom w:type="dxa" w:w="70"/>
              <w:right w:type="dxa" w:w="110"/>
            </w:tcMar>
          </w:tcPr>
          <w:p>
            <w:r>
              <w:rPr>
                <w:rFonts w:ascii="Arial" w:cs="Arial" w:eastAsia="Arial" w:hAnsi="Arial"/>
                <w:b/>
                <w:bCs/>
                <w:color w:val="FFFFFF"/>
                <w:sz w:val="20"/>
                <w:szCs w:val="20"/>
              </w:rPr>
              <w:t xml:space="preserve">Required Action</w:t>
            </w:r>
          </w:p>
        </w:tc>
        <w:tc>
          <w:tcPr>
            <w:tcW w:type="dxa" w:w="1600"/>
            <w:tcBorders>
              <w:top w:val="single" w:color="AAAAAA" w:sz="1"/>
              <w:left w:val="single" w:color="AAAAAA" w:sz="1"/>
              <w:bottom w:val="single" w:color="AAAAAA" w:sz="1"/>
              <w:right w:val="single" w:color="AAAAAA" w:sz="1"/>
            </w:tcBorders>
            <w:shd w:fill="2E75B6" w:val="clear"/>
            <w:tcMar>
              <w:top w:type="dxa" w:w="70"/>
              <w:left w:type="dxa" w:w="110"/>
              <w:bottom w:type="dxa" w:w="70"/>
              <w:right w:type="dxa" w:w="110"/>
            </w:tcMar>
          </w:tcPr>
          <w:p>
            <w:r>
              <w:rPr>
                <w:rFonts w:ascii="Arial" w:cs="Arial" w:eastAsia="Arial" w:hAnsi="Arial"/>
                <w:b/>
                <w:bCs/>
                <w:color w:val="FFFFFF"/>
                <w:sz w:val="20"/>
                <w:szCs w:val="20"/>
              </w:rPr>
              <w:t xml:space="preserve">Acceptance</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1–5</w:t>
            </w:r>
          </w:p>
        </w:tc>
        <w:tc>
          <w:tcPr>
            <w:tcW w:type="dxa" w:w="20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Low</w:t>
            </w:r>
          </w:p>
        </w:tc>
        <w:tc>
          <w:tcPr>
            <w:tcW w:type="dxa" w:w="37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Accept or monitor. Review at next scheduled cycle.</w:t>
            </w:r>
          </w:p>
        </w:tc>
        <w:tc>
          <w:tcPr>
            <w:tcW w:type="dxa" w:w="16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Acceptable</w:t>
            </w:r>
          </w:p>
        </w:tc>
      </w:tr>
      <w:tr>
        <w:tc>
          <w:tcPr>
            <w:tcW w:type="dxa" w:w="20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6–12</w:t>
            </w:r>
          </w:p>
        </w:tc>
        <w:tc>
          <w:tcPr>
            <w:tcW w:type="dxa" w:w="20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Medium</w:t>
            </w:r>
          </w:p>
        </w:tc>
        <w:tc>
          <w:tcPr>
            <w:tcW w:type="dxa" w:w="376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Implement mitigation controls within 90 days. Owner sign-off required.</w:t>
            </w:r>
          </w:p>
        </w:tc>
        <w:tc>
          <w:tcPr>
            <w:tcW w:type="dxa" w:w="16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Conditional</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13–19</w:t>
            </w:r>
          </w:p>
        </w:tc>
        <w:tc>
          <w:tcPr>
            <w:tcW w:type="dxa" w:w="20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High</w:t>
            </w:r>
          </w:p>
        </w:tc>
        <w:tc>
          <w:tcPr>
            <w:tcW w:type="dxa" w:w="37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Immediate risk treatment plan required. CISO approval. 30-day review.</w:t>
            </w:r>
          </w:p>
        </w:tc>
        <w:tc>
          <w:tcPr>
            <w:tcW w:type="dxa" w:w="16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Not Acceptable</w:t>
            </w:r>
          </w:p>
        </w:tc>
      </w:tr>
      <w:tr>
        <w:tc>
          <w:tcPr>
            <w:tcW w:type="dxa" w:w="20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20–25</w:t>
            </w:r>
          </w:p>
        </w:tc>
        <w:tc>
          <w:tcPr>
            <w:tcW w:type="dxa" w:w="20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Critical</w:t>
            </w:r>
          </w:p>
        </w:tc>
        <w:tc>
          <w:tcPr>
            <w:tcW w:type="dxa" w:w="376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Escalate to Top Management immediately. Emergency treatment within 14 days.</w:t>
            </w:r>
          </w:p>
        </w:tc>
        <w:tc>
          <w:tcPr>
            <w:tcW w:type="dxa" w:w="16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Not Acceptable</w:t>
            </w:r>
          </w:p>
        </w:tc>
      </w:tr>
    </w:tbl>
    <w:p>
      <w:pPr>
        <w:spacing w:after="90" w:before="0"/>
      </w:pPr>
      <w:r>
        <w:t xml:space="preserve"/>
      </w:r>
    </w:p>
    <w:p>
      <w:pPr>
        <w:pStyle w:val="Heading2"/>
        <w:spacing w:after="100" w:before="200"/>
      </w:pPr>
      <w:r>
        <w:rPr>
          <w:rFonts w:ascii="Arial" w:cs="Arial" w:eastAsia="Arial" w:hAnsi="Arial"/>
          <w:b/>
          <w:bCs/>
          <w:color w:val="2E75B6"/>
          <w:sz w:val="24"/>
          <w:szCs w:val="24"/>
        </w:rPr>
        <w:t xml:space="preserve">9.2 Risk Acceptance Criteria</w:t>
      </w:r>
    </w:p>
    <w:p>
      <w:pPr>
        <w:pStyle w:val="ListParagraph"/>
        <w:numPr>
          <w:ilvl w:val="0"/>
          <w:numId w:val="2"/>
        </w:numPr>
        <w:spacing w:after="50" w:before="50"/>
      </w:pPr>
      <w:r>
        <w:rPr>
          <w:rFonts w:ascii="Arial" w:cs="Arial" w:eastAsia="Arial" w:hAnsi="Arial"/>
          <w:sz w:val="22"/>
          <w:szCs w:val="22"/>
        </w:rPr>
        <w:t xml:space="preserve">Residual risks classified as Low may be formally accepted by the relevant Asset Owner</w:t>
      </w:r>
    </w:p>
    <w:p>
      <w:pPr>
        <w:pStyle w:val="ListParagraph"/>
        <w:numPr>
          <w:ilvl w:val="0"/>
          <w:numId w:val="2"/>
        </w:numPr>
        <w:spacing w:after="50" w:before="50"/>
      </w:pPr>
      <w:r>
        <w:rPr>
          <w:rFonts w:ascii="Arial" w:cs="Arial" w:eastAsia="Arial" w:hAnsi="Arial"/>
          <w:sz w:val="22"/>
          <w:szCs w:val="22"/>
        </w:rPr>
        <w:t xml:space="preserve">Residual risks classified as Medium require CISO approval before acceptance</w:t>
      </w:r>
    </w:p>
    <w:p>
      <w:pPr>
        <w:pStyle w:val="ListParagraph"/>
        <w:numPr>
          <w:ilvl w:val="0"/>
          <w:numId w:val="2"/>
        </w:numPr>
        <w:spacing w:after="50" w:before="50"/>
      </w:pPr>
      <w:r>
        <w:rPr>
          <w:rFonts w:ascii="Arial" w:cs="Arial" w:eastAsia="Arial" w:hAnsi="Arial"/>
          <w:sz w:val="22"/>
          <w:szCs w:val="22"/>
        </w:rPr>
        <w:t xml:space="preserve">Residual risks classified as High or Critical shall not be accepted without written Top Management approval and documented justification</w:t>
      </w:r>
    </w:p>
    <w:p>
      <w:pPr>
        <w:pStyle w:val="ListParagraph"/>
        <w:numPr>
          <w:ilvl w:val="0"/>
          <w:numId w:val="2"/>
        </w:numPr>
        <w:spacing w:after="50" w:before="50"/>
      </w:pPr>
      <w:r>
        <w:rPr>
          <w:rFonts w:ascii="Arial" w:cs="Arial" w:eastAsia="Arial" w:hAnsi="Arial"/>
          <w:sz w:val="22"/>
          <w:szCs w:val="22"/>
        </w:rPr>
        <w:t xml:space="preserve">All accepted risks shall be recorded in the Risk Register (ISMS-RSK-001) and reviewed at the next Management Review</w:t>
      </w:r>
    </w:p>
    <w:p>
      <w:pPr>
        <w:spacing w:after="180" w:before="0"/>
      </w:pPr>
      <w:r>
        <w:t xml:space="preserve"/>
      </w:r>
    </w:p>
    <w:p>
      <w:pPr>
        <w:pStyle w:val="Heading1"/>
        <w:spacing w:after="140" w:before="280"/>
      </w:pPr>
      <w:r>
        <w:rPr>
          <w:rFonts w:ascii="Arial" w:cs="Arial" w:eastAsia="Arial" w:hAnsi="Arial"/>
          <w:b/>
          <w:bCs/>
          <w:color w:val="1F3864"/>
          <w:sz w:val="28"/>
          <w:szCs w:val="28"/>
        </w:rPr>
        <w:t xml:space="preserve">10. Related Policies and Documents (Tier 2)</w:t>
      </w:r>
    </w:p>
    <w:p>
      <w:pPr>
        <w:spacing w:after="60" w:before="60"/>
      </w:pPr>
      <w:r>
        <w:rPr>
          <w:rFonts w:ascii="Arial" w:cs="Arial" w:eastAsia="Arial" w:hAnsi="Arial"/>
          <w:sz w:val="22"/>
          <w:szCs w:val="22"/>
        </w:rPr>
        <w:t xml:space="preserve">This Policy (Tier 1) is supported by the following domain-specific Tier 2 policies. Each Tier 2 policy provides detailed requirements and controls for its respective area and maps to the relevant Annex A controls:</w:t>
      </w:r>
    </w:p>
    <w:p>
      <w:pPr>
        <w:spacing w:after="9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1800"/>
        <w:gridCol w:w="180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70"/>
              <w:left w:type="dxa" w:w="110"/>
              <w:bottom w:type="dxa" w:w="70"/>
              <w:right w:type="dxa" w:w="110"/>
            </w:tcMar>
          </w:tcPr>
          <w:p>
            <w:r>
              <w:rPr>
                <w:rFonts w:ascii="Arial" w:cs="Arial" w:eastAsia="Arial" w:hAnsi="Arial"/>
                <w:b/>
                <w:bCs/>
                <w:color w:val="FFFFFF"/>
                <w:sz w:val="20"/>
                <w:szCs w:val="20"/>
              </w:rPr>
              <w:t xml:space="preserve">Document Ref</w:t>
            </w:r>
          </w:p>
        </w:tc>
        <w:tc>
          <w:tcPr>
            <w:tcW w:type="dxa" w:w="3560"/>
            <w:tcBorders>
              <w:top w:val="single" w:color="AAAAAA" w:sz="1"/>
              <w:left w:val="single" w:color="AAAAAA" w:sz="1"/>
              <w:bottom w:val="single" w:color="AAAAAA" w:sz="1"/>
              <w:right w:val="single" w:color="AAAAAA" w:sz="1"/>
            </w:tcBorders>
            <w:shd w:fill="2E75B6" w:val="clear"/>
            <w:tcMar>
              <w:top w:type="dxa" w:w="70"/>
              <w:left w:type="dxa" w:w="110"/>
              <w:bottom w:type="dxa" w:w="70"/>
              <w:right w:type="dxa" w:w="110"/>
            </w:tcMar>
          </w:tcPr>
          <w:p>
            <w:r>
              <w:rPr>
                <w:rFonts w:ascii="Arial" w:cs="Arial" w:eastAsia="Arial" w:hAnsi="Arial"/>
                <w:b/>
                <w:bCs/>
                <w:color w:val="FFFFFF"/>
                <w:sz w:val="20"/>
                <w:szCs w:val="20"/>
              </w:rPr>
              <w:t xml:space="preserve">Policy Title</w:t>
            </w:r>
          </w:p>
        </w:tc>
        <w:tc>
          <w:tcPr>
            <w:tcW w:type="dxa" w:w="1800"/>
            <w:tcBorders>
              <w:top w:val="single" w:color="AAAAAA" w:sz="1"/>
              <w:left w:val="single" w:color="AAAAAA" w:sz="1"/>
              <w:bottom w:val="single" w:color="AAAAAA" w:sz="1"/>
              <w:right w:val="single" w:color="AAAAAA" w:sz="1"/>
            </w:tcBorders>
            <w:shd w:fill="2E75B6" w:val="clear"/>
            <w:tcMar>
              <w:top w:type="dxa" w:w="70"/>
              <w:left w:type="dxa" w:w="110"/>
              <w:bottom w:type="dxa" w:w="70"/>
              <w:right w:type="dxa" w:w="110"/>
            </w:tcMar>
          </w:tcPr>
          <w:p>
            <w:r>
              <w:rPr>
                <w:rFonts w:ascii="Arial" w:cs="Arial" w:eastAsia="Arial" w:hAnsi="Arial"/>
                <w:b/>
                <w:bCs/>
                <w:color w:val="FFFFFF"/>
                <w:sz w:val="20"/>
                <w:szCs w:val="20"/>
              </w:rPr>
              <w:t xml:space="preserve">Clause</w:t>
            </w:r>
          </w:p>
        </w:tc>
        <w:tc>
          <w:tcPr>
            <w:tcW w:type="dxa" w:w="1800"/>
            <w:tcBorders>
              <w:top w:val="single" w:color="AAAAAA" w:sz="1"/>
              <w:left w:val="single" w:color="AAAAAA" w:sz="1"/>
              <w:bottom w:val="single" w:color="AAAAAA" w:sz="1"/>
              <w:right w:val="single" w:color="AAAAAA" w:sz="1"/>
            </w:tcBorders>
            <w:shd w:fill="2E75B6" w:val="clear"/>
            <w:tcMar>
              <w:top w:type="dxa" w:w="70"/>
              <w:left w:type="dxa" w:w="110"/>
              <w:bottom w:type="dxa" w:w="70"/>
              <w:right w:type="dxa" w:w="110"/>
            </w:tcMar>
          </w:tcPr>
          <w:p>
            <w:r>
              <w:rPr>
                <w:rFonts w:ascii="Arial" w:cs="Arial" w:eastAsia="Arial" w:hAnsi="Arial"/>
                <w:b/>
                <w:bCs/>
                <w:color w:val="FFFFFF"/>
                <w:sz w:val="20"/>
                <w:szCs w:val="20"/>
              </w:rPr>
              <w:t xml:space="preserve">Annex A Controls</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ISMS-ACP-001</w:t>
            </w:r>
          </w:p>
        </w:tc>
        <w:tc>
          <w:tcPr>
            <w:tcW w:type="dxa" w:w="35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Access Control Policy</w:t>
            </w:r>
          </w:p>
        </w:tc>
        <w:tc>
          <w:tcPr>
            <w:tcW w:type="dxa" w:w="18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Cl.8.1</w:t>
            </w:r>
          </w:p>
        </w:tc>
        <w:tc>
          <w:tcPr>
            <w:tcW w:type="dxa" w:w="18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A.5.15–5.18</w:t>
            </w:r>
          </w:p>
        </w:tc>
      </w:tr>
      <w:tr>
        <w:tc>
          <w:tcPr>
            <w:tcW w:type="dxa" w:w="22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ISMS-IRP-001</w:t>
            </w:r>
          </w:p>
        </w:tc>
        <w:tc>
          <w:tcPr>
            <w:tcW w:type="dxa" w:w="356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Incident Response Policy</w:t>
            </w:r>
          </w:p>
        </w:tc>
        <w:tc>
          <w:tcPr>
            <w:tcW w:type="dxa" w:w="18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Cl.8.1</w:t>
            </w:r>
          </w:p>
        </w:tc>
        <w:tc>
          <w:tcPr>
            <w:tcW w:type="dxa" w:w="18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A.5.24–5.28</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ISMS-HRS-001</w:t>
            </w:r>
          </w:p>
        </w:tc>
        <w:tc>
          <w:tcPr>
            <w:tcW w:type="dxa" w:w="35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Human Resources Security Policy</w:t>
            </w:r>
          </w:p>
        </w:tc>
        <w:tc>
          <w:tcPr>
            <w:tcW w:type="dxa" w:w="18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Cl.7.2, 8.1</w:t>
            </w:r>
          </w:p>
        </w:tc>
        <w:tc>
          <w:tcPr>
            <w:tcW w:type="dxa" w:w="18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A.6.1–6.8</w:t>
            </w:r>
          </w:p>
        </w:tc>
      </w:tr>
      <w:tr>
        <w:tc>
          <w:tcPr>
            <w:tcW w:type="dxa" w:w="22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ISMS-AST-001</w:t>
            </w:r>
          </w:p>
        </w:tc>
        <w:tc>
          <w:tcPr>
            <w:tcW w:type="dxa" w:w="356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Asset Management Policy</w:t>
            </w:r>
          </w:p>
        </w:tc>
        <w:tc>
          <w:tcPr>
            <w:tcW w:type="dxa" w:w="18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Cl.8.1</w:t>
            </w:r>
          </w:p>
        </w:tc>
        <w:tc>
          <w:tcPr>
            <w:tcW w:type="dxa" w:w="18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A.5.9–5.12</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ISMS-SUP-001</w:t>
            </w:r>
          </w:p>
        </w:tc>
        <w:tc>
          <w:tcPr>
            <w:tcW w:type="dxa" w:w="35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Supplier Security Policy</w:t>
            </w:r>
          </w:p>
        </w:tc>
        <w:tc>
          <w:tcPr>
            <w:tcW w:type="dxa" w:w="18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Cl.8.1</w:t>
            </w:r>
          </w:p>
        </w:tc>
        <w:tc>
          <w:tcPr>
            <w:tcW w:type="dxa" w:w="18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A.5.19–5.23</w:t>
            </w:r>
          </w:p>
        </w:tc>
      </w:tr>
      <w:tr>
        <w:tc>
          <w:tcPr>
            <w:tcW w:type="dxa" w:w="22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ISMS-BCM-001</w:t>
            </w:r>
          </w:p>
        </w:tc>
        <w:tc>
          <w:tcPr>
            <w:tcW w:type="dxa" w:w="356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Business Continuity Policy</w:t>
            </w:r>
          </w:p>
        </w:tc>
        <w:tc>
          <w:tcPr>
            <w:tcW w:type="dxa" w:w="18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Cl.8.1</w:t>
            </w:r>
          </w:p>
        </w:tc>
        <w:tc>
          <w:tcPr>
            <w:tcW w:type="dxa" w:w="18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A.5.29–5.30</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ISMS-CRY-001</w:t>
            </w:r>
          </w:p>
        </w:tc>
        <w:tc>
          <w:tcPr>
            <w:tcW w:type="dxa" w:w="35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Cryptography Policy</w:t>
            </w:r>
          </w:p>
        </w:tc>
        <w:tc>
          <w:tcPr>
            <w:tcW w:type="dxa" w:w="18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Cl.8.1</w:t>
            </w:r>
          </w:p>
        </w:tc>
        <w:tc>
          <w:tcPr>
            <w:tcW w:type="dxa" w:w="18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A.8.24</w:t>
            </w:r>
          </w:p>
        </w:tc>
      </w:tr>
      <w:tr>
        <w:tc>
          <w:tcPr>
            <w:tcW w:type="dxa" w:w="22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ISMS-CDS-001</w:t>
            </w:r>
          </w:p>
        </w:tc>
        <w:tc>
          <w:tcPr>
            <w:tcW w:type="dxa" w:w="356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Clear Desk and Clear Screen Policy</w:t>
            </w:r>
          </w:p>
        </w:tc>
        <w:tc>
          <w:tcPr>
            <w:tcW w:type="dxa" w:w="18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Cl.8.1</w:t>
            </w:r>
          </w:p>
        </w:tc>
        <w:tc>
          <w:tcPr>
            <w:tcW w:type="dxa" w:w="18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A.7.7</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ISMS-AUP-001</w:t>
            </w:r>
          </w:p>
        </w:tc>
        <w:tc>
          <w:tcPr>
            <w:tcW w:type="dxa" w:w="35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Acceptable Use Policy</w:t>
            </w:r>
          </w:p>
        </w:tc>
        <w:tc>
          <w:tcPr>
            <w:tcW w:type="dxa" w:w="18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Cl.8.1</w:t>
            </w:r>
          </w:p>
        </w:tc>
        <w:tc>
          <w:tcPr>
            <w:tcW w:type="dxa" w:w="18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A.5.10</w:t>
            </w:r>
          </w:p>
        </w:tc>
      </w:tr>
      <w:tr>
        <w:tc>
          <w:tcPr>
            <w:tcW w:type="dxa" w:w="22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ISMS-DEV-001</w:t>
            </w:r>
          </w:p>
        </w:tc>
        <w:tc>
          <w:tcPr>
            <w:tcW w:type="dxa" w:w="356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Secure Development Policy</w:t>
            </w:r>
          </w:p>
        </w:tc>
        <w:tc>
          <w:tcPr>
            <w:tcW w:type="dxa" w:w="18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Cl.8.1</w:t>
            </w:r>
          </w:p>
        </w:tc>
        <w:tc>
          <w:tcPr>
            <w:tcW w:type="dxa" w:w="18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sz w:val="20"/>
                <w:szCs w:val="20"/>
              </w:rPr>
              <w:t xml:space="preserve">A.8.25–8.31</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ISMS-PHY-001</w:t>
            </w:r>
          </w:p>
        </w:tc>
        <w:tc>
          <w:tcPr>
            <w:tcW w:type="dxa" w:w="35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Physical Security Policy</w:t>
            </w:r>
          </w:p>
        </w:tc>
        <w:tc>
          <w:tcPr>
            <w:tcW w:type="dxa" w:w="18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Cl.8.1</w:t>
            </w:r>
          </w:p>
        </w:tc>
        <w:tc>
          <w:tcPr>
            <w:tcW w:type="dxa" w:w="18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A.7.1–7.13</w:t>
            </w:r>
          </w:p>
        </w:tc>
      </w:tr>
    </w:tbl>
    <w:p>
      <w:pPr>
        <w:spacing w:after="180" w:before="0"/>
      </w:pPr>
      <w:r>
        <w:t xml:space="preserve"/>
      </w:r>
    </w:p>
    <w:p>
      <w:pPr>
        <w:pStyle w:val="Heading1"/>
        <w:spacing w:after="140" w:before="280"/>
      </w:pPr>
      <w:r>
        <w:rPr>
          <w:rFonts w:ascii="Arial" w:cs="Arial" w:eastAsia="Arial" w:hAnsi="Arial"/>
          <w:b/>
          <w:bCs/>
          <w:color w:val="1F3864"/>
          <w:sz w:val="28"/>
          <w:szCs w:val="28"/>
        </w:rPr>
        <w:t xml:space="preserve">11. Policy Compliance and Consequences</w:t>
      </w:r>
    </w:p>
    <w:p>
      <w:pPr>
        <w:pStyle w:val="Heading2"/>
        <w:spacing w:after="100" w:before="200"/>
      </w:pPr>
      <w:r>
        <w:rPr>
          <w:rFonts w:ascii="Arial" w:cs="Arial" w:eastAsia="Arial" w:hAnsi="Arial"/>
          <w:b/>
          <w:bCs/>
          <w:color w:val="2E75B6"/>
          <w:sz w:val="24"/>
          <w:szCs w:val="24"/>
        </w:rPr>
        <w:t xml:space="preserve">11.1 Compliance Obligation</w:t>
      </w:r>
    </w:p>
    <w:p>
      <w:pPr>
        <w:spacing w:after="60" w:before="60"/>
      </w:pPr>
      <w:r>
        <w:rPr>
          <w:rFonts w:ascii="Arial" w:cs="Arial" w:eastAsia="Arial" w:hAnsi="Arial"/>
          <w:sz w:val="22"/>
          <w:szCs w:val="22"/>
        </w:rPr>
        <w:t xml:space="preserve">Compliance with this Policy and all related Tier 2 policies is mandatory for all personnel within scope. Compliance shall be verified through:</w:t>
      </w:r>
    </w:p>
    <w:p>
      <w:pPr>
        <w:pStyle w:val="ListParagraph"/>
        <w:numPr>
          <w:ilvl w:val="0"/>
          <w:numId w:val="2"/>
        </w:numPr>
        <w:spacing w:after="50" w:before="50"/>
      </w:pPr>
      <w:r>
        <w:rPr>
          <w:rFonts w:ascii="Arial" w:cs="Arial" w:eastAsia="Arial" w:hAnsi="Arial"/>
          <w:sz w:val="22"/>
          <w:szCs w:val="22"/>
        </w:rPr>
        <w:t xml:space="preserve">Annual internal IS audits (Clause 9.2)</w:t>
      </w:r>
    </w:p>
    <w:p>
      <w:pPr>
        <w:pStyle w:val="ListParagraph"/>
        <w:numPr>
          <w:ilvl w:val="0"/>
          <w:numId w:val="2"/>
        </w:numPr>
        <w:spacing w:after="50" w:before="50"/>
      </w:pPr>
      <w:r>
        <w:rPr>
          <w:rFonts w:ascii="Arial" w:cs="Arial" w:eastAsia="Arial" w:hAnsi="Arial"/>
          <w:sz w:val="22"/>
          <w:szCs w:val="22"/>
        </w:rPr>
        <w:t xml:space="preserve">Periodic management reviews (Clause 9.3)</w:t>
      </w:r>
    </w:p>
    <w:p>
      <w:pPr>
        <w:pStyle w:val="ListParagraph"/>
        <w:numPr>
          <w:ilvl w:val="0"/>
          <w:numId w:val="2"/>
        </w:numPr>
        <w:spacing w:after="50" w:before="50"/>
      </w:pPr>
      <w:r>
        <w:rPr>
          <w:rFonts w:ascii="Arial" w:cs="Arial" w:eastAsia="Arial" w:hAnsi="Arial"/>
          <w:sz w:val="22"/>
          <w:szCs w:val="22"/>
        </w:rPr>
        <w:t xml:space="preserve">Ongoing monitoring and measurement activities (Clause 9.1)</w:t>
      </w:r>
    </w:p>
    <w:p>
      <w:pPr>
        <w:pStyle w:val="ListParagraph"/>
        <w:numPr>
          <w:ilvl w:val="0"/>
          <w:numId w:val="2"/>
        </w:numPr>
        <w:spacing w:after="50" w:before="50"/>
      </w:pPr>
      <w:r>
        <w:rPr>
          <w:rFonts w:ascii="Arial" w:cs="Arial" w:eastAsia="Arial" w:hAnsi="Arial"/>
          <w:sz w:val="22"/>
          <w:szCs w:val="22"/>
        </w:rPr>
        <w:t xml:space="preserve">Third-party and certification body audits</w:t>
      </w:r>
    </w:p>
    <w:p>
      <w:pPr>
        <w:spacing w:after="90" w:before="0"/>
      </w:pPr>
      <w:r>
        <w:t xml:space="preserve"/>
      </w:r>
    </w:p>
    <w:p>
      <w:pPr>
        <w:pStyle w:val="Heading2"/>
        <w:spacing w:after="100" w:before="200"/>
      </w:pPr>
      <w:r>
        <w:rPr>
          <w:rFonts w:ascii="Arial" w:cs="Arial" w:eastAsia="Arial" w:hAnsi="Arial"/>
          <w:b/>
          <w:bCs/>
          <w:color w:val="2E75B6"/>
          <w:sz w:val="24"/>
          <w:szCs w:val="24"/>
        </w:rPr>
        <w:t xml:space="preserve">11.2 Consequences of Non-Compliance</w:t>
      </w:r>
    </w:p>
    <w:p>
      <w:pPr>
        <w:spacing w:after="60" w:before="60"/>
      </w:pPr>
      <w:r>
        <w:rPr>
          <w:rFonts w:ascii="Arial" w:cs="Arial" w:eastAsia="Arial" w:hAnsi="Arial"/>
          <w:sz w:val="22"/>
          <w:szCs w:val="22"/>
        </w:rPr>
        <w:t xml:space="preserve">Failure to comply with this Policy may result in:</w:t>
      </w:r>
    </w:p>
    <w:p>
      <w:pPr>
        <w:pStyle w:val="ListParagraph"/>
        <w:numPr>
          <w:ilvl w:val="0"/>
          <w:numId w:val="2"/>
        </w:numPr>
        <w:spacing w:after="50" w:before="50"/>
      </w:pPr>
      <w:r>
        <w:rPr>
          <w:rFonts w:ascii="Arial" w:cs="Arial" w:eastAsia="Arial" w:hAnsi="Arial"/>
          <w:sz w:val="22"/>
          <w:szCs w:val="22"/>
        </w:rPr>
        <w:t xml:space="preserve">Formal disciplinary action in accordance with the Organization's HR Disciplinary Policy</w:t>
      </w:r>
    </w:p>
    <w:p>
      <w:pPr>
        <w:pStyle w:val="ListParagraph"/>
        <w:numPr>
          <w:ilvl w:val="0"/>
          <w:numId w:val="2"/>
        </w:numPr>
        <w:spacing w:after="50" w:before="50"/>
      </w:pPr>
      <w:r>
        <w:rPr>
          <w:rFonts w:ascii="Arial" w:cs="Arial" w:eastAsia="Arial" w:hAnsi="Arial"/>
          <w:sz w:val="22"/>
          <w:szCs w:val="22"/>
        </w:rPr>
        <w:t xml:space="preserve">Termination of employment or contract for serious or repeated violations</w:t>
      </w:r>
    </w:p>
    <w:p>
      <w:pPr>
        <w:pStyle w:val="ListParagraph"/>
        <w:numPr>
          <w:ilvl w:val="0"/>
          <w:numId w:val="2"/>
        </w:numPr>
        <w:spacing w:after="50" w:before="50"/>
      </w:pPr>
      <w:r>
        <w:rPr>
          <w:rFonts w:ascii="Arial" w:cs="Arial" w:eastAsia="Arial" w:hAnsi="Arial"/>
          <w:sz w:val="22"/>
          <w:szCs w:val="22"/>
        </w:rPr>
        <w:t xml:space="preserve">Legal proceedings where non-compliance involves criminal activity or breach of contract</w:t>
      </w:r>
    </w:p>
    <w:p>
      <w:pPr>
        <w:pStyle w:val="ListParagraph"/>
        <w:numPr>
          <w:ilvl w:val="0"/>
          <w:numId w:val="2"/>
        </w:numPr>
        <w:spacing w:after="50" w:before="50"/>
      </w:pPr>
      <w:r>
        <w:rPr>
          <w:rFonts w:ascii="Arial" w:cs="Arial" w:eastAsia="Arial" w:hAnsi="Arial"/>
          <w:sz w:val="22"/>
          <w:szCs w:val="22"/>
        </w:rPr>
        <w:t xml:space="preserve">Reporting to regulatory authorities where required by law</w:t>
      </w:r>
    </w:p>
    <w:p>
      <w:pPr>
        <w:spacing w:after="90" w:before="0"/>
      </w:pPr>
      <w:r>
        <w:t xml:space="preserve"/>
      </w:r>
    </w:p>
    <w:p>
      <w:pPr>
        <w:pStyle w:val="Heading2"/>
        <w:spacing w:after="100" w:before="200"/>
      </w:pPr>
      <w:r>
        <w:rPr>
          <w:rFonts w:ascii="Arial" w:cs="Arial" w:eastAsia="Arial" w:hAnsi="Arial"/>
          <w:b/>
          <w:bCs/>
          <w:color w:val="2E75B6"/>
          <w:sz w:val="24"/>
          <w:szCs w:val="24"/>
        </w:rPr>
        <w:t xml:space="preserve">11.3 Reporting Policy Violations</w:t>
      </w:r>
    </w:p>
    <w:p>
      <w:pPr>
        <w:spacing w:after="60" w:before="60"/>
      </w:pPr>
      <w:r>
        <w:rPr>
          <w:rFonts w:ascii="Arial" w:cs="Arial" w:eastAsia="Arial" w:hAnsi="Arial"/>
          <w:sz w:val="22"/>
          <w:szCs w:val="22"/>
        </w:rPr>
        <w:t xml:space="preserve">Any known or suspected violation of this Policy must be reported immediately to the Information Security Manager or via the incident reporting mechanism defined in ISMS-IRP-001. Reports may be made anonymously where the Organization's reporting mechanism supports this. No personnel shall suffer retaliation for reporting a suspected violation in good faith.</w:t>
      </w:r>
    </w:p>
    <w:p>
      <w:pPr>
        <w:spacing w:after="180" w:before="0"/>
      </w:pPr>
      <w:r>
        <w:t xml:space="preserve"/>
      </w:r>
    </w:p>
    <w:p>
      <w:pPr>
        <w:pStyle w:val="Heading1"/>
        <w:spacing w:after="140" w:before="280"/>
      </w:pPr>
      <w:r>
        <w:rPr>
          <w:rFonts w:ascii="Arial" w:cs="Arial" w:eastAsia="Arial" w:hAnsi="Arial"/>
          <w:b/>
          <w:bCs/>
          <w:color w:val="1F3864"/>
          <w:sz w:val="28"/>
          <w:szCs w:val="28"/>
        </w:rPr>
        <w:t xml:space="preserve">12. Policy Review and Maintenance</w:t>
      </w:r>
    </w:p>
    <w:p>
      <w:pPr>
        <w:spacing w:after="60" w:before="60"/>
      </w:pPr>
      <w:r>
        <w:rPr>
          <w:rFonts w:ascii="Arial" w:cs="Arial" w:eastAsia="Arial" w:hAnsi="Arial"/>
          <w:sz w:val="22"/>
          <w:szCs w:val="22"/>
        </w:rPr>
        <w:t xml:space="preserve">In accordance with ISO/IEC 27001:2022 Clause 5.2 and Control A.5.1, this Policy shall be reviewed and updated as follows:</w:t>
      </w:r>
    </w:p>
    <w:p>
      <w:pPr>
        <w:spacing w:after="90" w:before="0"/>
      </w:pPr>
      <w:r>
        <w:t xml:space="preserve"/>
      </w:r>
    </w:p>
    <w:p>
      <w:pPr>
        <w:pStyle w:val="Heading2"/>
        <w:spacing w:after="100" w:before="200"/>
      </w:pPr>
      <w:r>
        <w:rPr>
          <w:rFonts w:ascii="Arial" w:cs="Arial" w:eastAsia="Arial" w:hAnsi="Arial"/>
          <w:b/>
          <w:bCs/>
          <w:color w:val="2E75B6"/>
          <w:sz w:val="24"/>
          <w:szCs w:val="24"/>
        </w:rPr>
        <w:t xml:space="preserve">12.1 Scheduled Review</w:t>
      </w:r>
    </w:p>
    <w:p>
      <w:pPr>
        <w:pStyle w:val="ListParagraph"/>
        <w:numPr>
          <w:ilvl w:val="0"/>
          <w:numId w:val="2"/>
        </w:numPr>
        <w:spacing w:after="50" w:before="50"/>
      </w:pPr>
      <w:r>
        <w:rPr>
          <w:rFonts w:ascii="Arial" w:cs="Arial" w:eastAsia="Arial" w:hAnsi="Arial"/>
          <w:b/>
          <w:bCs/>
          <w:sz w:val="22"/>
          <w:szCs w:val="22"/>
        </w:rPr>
        <w:t xml:space="preserve">Annual review:</w:t>
      </w:r>
      <w:r>
        <w:rPr>
          <w:rFonts w:ascii="Arial" w:cs="Arial" w:eastAsia="Arial" w:hAnsi="Arial"/>
          <w:sz w:val="22"/>
          <w:szCs w:val="22"/>
        </w:rPr>
        <w:t xml:space="preserve"> This Policy shall be reviewed at least annually as part of the Management Review process (Clause 9.3). Next scheduled review: 3 May 2027</w:t>
      </w:r>
    </w:p>
    <w:p>
      <w:pPr>
        <w:pStyle w:val="ListParagraph"/>
        <w:numPr>
          <w:ilvl w:val="0"/>
          <w:numId w:val="2"/>
        </w:numPr>
        <w:spacing w:after="50" w:before="50"/>
      </w:pPr>
      <w:r>
        <w:rPr>
          <w:rFonts w:ascii="Arial" w:cs="Arial" w:eastAsia="Arial" w:hAnsi="Arial"/>
          <w:b/>
          <w:bCs/>
          <w:sz w:val="22"/>
          <w:szCs w:val="22"/>
        </w:rPr>
        <w:t xml:space="preserve">Management Review input:</w:t>
      </w:r>
      <w:r>
        <w:rPr>
          <w:rFonts w:ascii="Arial" w:cs="Arial" w:eastAsia="Arial" w:hAnsi="Arial"/>
          <w:sz w:val="22"/>
          <w:szCs w:val="22"/>
        </w:rPr>
        <w:t xml:space="preserve"> ISMS performance data, audit results, incident trends, and changes in the risk environment shall inform the review</w:t>
      </w:r>
    </w:p>
    <w:p>
      <w:pPr>
        <w:spacing w:after="90" w:before="0"/>
      </w:pPr>
      <w:r>
        <w:t xml:space="preserve"/>
      </w:r>
    </w:p>
    <w:p>
      <w:pPr>
        <w:pStyle w:val="Heading2"/>
        <w:spacing w:after="100" w:before="200"/>
      </w:pPr>
      <w:r>
        <w:rPr>
          <w:rFonts w:ascii="Arial" w:cs="Arial" w:eastAsia="Arial" w:hAnsi="Arial"/>
          <w:b/>
          <w:bCs/>
          <w:color w:val="2E75B6"/>
          <w:sz w:val="24"/>
          <w:szCs w:val="24"/>
        </w:rPr>
        <w:t xml:space="preserve">12.2 Triggered Review</w:t>
      </w:r>
    </w:p>
    <w:p>
      <w:pPr>
        <w:spacing w:after="60" w:before="60"/>
      </w:pPr>
      <w:r>
        <w:rPr>
          <w:rFonts w:ascii="Arial" w:cs="Arial" w:eastAsia="Arial" w:hAnsi="Arial"/>
          <w:sz w:val="22"/>
          <w:szCs w:val="22"/>
        </w:rPr>
        <w:t xml:space="preserve">An unscheduled review shall be initiated upon:</w:t>
      </w:r>
    </w:p>
    <w:p>
      <w:pPr>
        <w:pStyle w:val="ListParagraph"/>
        <w:numPr>
          <w:ilvl w:val="0"/>
          <w:numId w:val="2"/>
        </w:numPr>
        <w:spacing w:after="50" w:before="50"/>
      </w:pPr>
      <w:r>
        <w:rPr>
          <w:rFonts w:ascii="Arial" w:cs="Arial" w:eastAsia="Arial" w:hAnsi="Arial"/>
          <w:sz w:val="22"/>
          <w:szCs w:val="22"/>
        </w:rPr>
        <w:t xml:space="preserve">Significant changes to the Organization's structure, systems, or business model</w:t>
      </w:r>
    </w:p>
    <w:p>
      <w:pPr>
        <w:pStyle w:val="ListParagraph"/>
        <w:numPr>
          <w:ilvl w:val="0"/>
          <w:numId w:val="2"/>
        </w:numPr>
        <w:spacing w:after="50" w:before="50"/>
      </w:pPr>
      <w:r>
        <w:rPr>
          <w:rFonts w:ascii="Arial" w:cs="Arial" w:eastAsia="Arial" w:hAnsi="Arial"/>
          <w:sz w:val="22"/>
          <w:szCs w:val="22"/>
        </w:rPr>
        <w:t xml:space="preserve">Introduction of new or significant changes to applicable laws, regulations, or contractual requirements</w:t>
      </w:r>
    </w:p>
    <w:p>
      <w:pPr>
        <w:pStyle w:val="ListParagraph"/>
        <w:numPr>
          <w:ilvl w:val="0"/>
          <w:numId w:val="2"/>
        </w:numPr>
        <w:spacing w:after="50" w:before="50"/>
      </w:pPr>
      <w:r>
        <w:rPr>
          <w:rFonts w:ascii="Arial" w:cs="Arial" w:eastAsia="Arial" w:hAnsi="Arial"/>
          <w:sz w:val="22"/>
          <w:szCs w:val="22"/>
        </w:rPr>
        <w:t xml:space="preserve">Occurrence of a significant information security incident</w:t>
      </w:r>
    </w:p>
    <w:p>
      <w:pPr>
        <w:pStyle w:val="ListParagraph"/>
        <w:numPr>
          <w:ilvl w:val="0"/>
          <w:numId w:val="2"/>
        </w:numPr>
        <w:spacing w:after="50" w:before="50"/>
      </w:pPr>
      <w:r>
        <w:rPr>
          <w:rFonts w:ascii="Arial" w:cs="Arial" w:eastAsia="Arial" w:hAnsi="Arial"/>
          <w:sz w:val="22"/>
          <w:szCs w:val="22"/>
        </w:rPr>
        <w:t xml:space="preserve">Material changes to the threat environment or risk landscape</w:t>
      </w:r>
    </w:p>
    <w:p>
      <w:pPr>
        <w:pStyle w:val="ListParagraph"/>
        <w:numPr>
          <w:ilvl w:val="0"/>
          <w:numId w:val="2"/>
        </w:numPr>
        <w:spacing w:after="50" w:before="50"/>
      </w:pPr>
      <w:r>
        <w:rPr>
          <w:rFonts w:ascii="Arial" w:cs="Arial" w:eastAsia="Arial" w:hAnsi="Arial"/>
          <w:sz w:val="22"/>
          <w:szCs w:val="22"/>
        </w:rPr>
        <w:t xml:space="preserve">Feedback from internal or external audits identifying policy gaps</w:t>
      </w:r>
    </w:p>
    <w:p>
      <w:pPr>
        <w:spacing w:after="90" w:before="0"/>
      </w:pPr>
      <w:r>
        <w:t xml:space="preserve"/>
      </w:r>
    </w:p>
    <w:p>
      <w:pPr>
        <w:pStyle w:val="Heading2"/>
        <w:spacing w:after="100" w:before="200"/>
      </w:pPr>
      <w:r>
        <w:rPr>
          <w:rFonts w:ascii="Arial" w:cs="Arial" w:eastAsia="Arial" w:hAnsi="Arial"/>
          <w:b/>
          <w:bCs/>
          <w:color w:val="2E75B6"/>
          <w:sz w:val="24"/>
          <w:szCs w:val="24"/>
        </w:rPr>
        <w:t xml:space="preserve">12.3 Communication</w:t>
      </w:r>
    </w:p>
    <w:p>
      <w:pPr>
        <w:spacing w:after="60" w:before="60"/>
      </w:pPr>
      <w:r>
        <w:rPr>
          <w:rFonts w:ascii="Arial" w:cs="Arial" w:eastAsia="Arial" w:hAnsi="Arial"/>
          <w:sz w:val="22"/>
          <w:szCs w:val="22"/>
        </w:rPr>
        <w:t xml:space="preserve">All approved versions of this Policy shall be:</w:t>
      </w:r>
    </w:p>
    <w:p>
      <w:pPr>
        <w:pStyle w:val="ListParagraph"/>
        <w:numPr>
          <w:ilvl w:val="0"/>
          <w:numId w:val="2"/>
        </w:numPr>
        <w:spacing w:after="50" w:before="50"/>
      </w:pPr>
      <w:r>
        <w:rPr>
          <w:rFonts w:ascii="Arial" w:cs="Arial" w:eastAsia="Arial" w:hAnsi="Arial"/>
          <w:sz w:val="22"/>
          <w:szCs w:val="22"/>
        </w:rPr>
        <w:t xml:space="preserve">Issued as a controlled document with version number and effective date</w:t>
      </w:r>
    </w:p>
    <w:p>
      <w:pPr>
        <w:pStyle w:val="ListParagraph"/>
        <w:numPr>
          <w:ilvl w:val="0"/>
          <w:numId w:val="2"/>
        </w:numPr>
        <w:spacing w:after="50" w:before="50"/>
      </w:pPr>
      <w:r>
        <w:rPr>
          <w:rFonts w:ascii="Arial" w:cs="Arial" w:eastAsia="Arial" w:hAnsi="Arial"/>
          <w:sz w:val="22"/>
          <w:szCs w:val="22"/>
        </w:rPr>
        <w:t xml:space="preserve">Published on the Organization's internal intranet and/or noticeboards</w:t>
      </w:r>
    </w:p>
    <w:p>
      <w:pPr>
        <w:pStyle w:val="ListParagraph"/>
        <w:numPr>
          <w:ilvl w:val="0"/>
          <w:numId w:val="2"/>
        </w:numPr>
        <w:spacing w:after="50" w:before="50"/>
      </w:pPr>
      <w:r>
        <w:rPr>
          <w:rFonts w:ascii="Arial" w:cs="Arial" w:eastAsia="Arial" w:hAnsi="Arial"/>
          <w:sz w:val="22"/>
          <w:szCs w:val="22"/>
        </w:rPr>
        <w:t xml:space="preserve">Communicated to all in-scope personnel upon issue and at awareness training cycles</w:t>
      </w:r>
    </w:p>
    <w:p>
      <w:pPr>
        <w:pStyle w:val="ListParagraph"/>
        <w:numPr>
          <w:ilvl w:val="0"/>
          <w:numId w:val="2"/>
        </w:numPr>
        <w:spacing w:after="50" w:before="50"/>
      </w:pPr>
      <w:r>
        <w:rPr>
          <w:rFonts w:ascii="Arial" w:cs="Arial" w:eastAsia="Arial" w:hAnsi="Arial"/>
          <w:sz w:val="22"/>
          <w:szCs w:val="22"/>
        </w:rPr>
        <w:t xml:space="preserve">Made available to external parties (clients, auditors, regulators) upon request</w:t>
      </w:r>
    </w:p>
    <w:p>
      <w:pPr>
        <w:spacing w:after="9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2"/>
              <w:bottom w:val="single" w:color="AAAAAA" w:sz="1"/>
              <w:right w:val="single" w:color="AAAAAA" w:sz="1"/>
            </w:tcBorders>
            <w:shd w:fill="F2F2F2" w:val="clear"/>
            <w:tcMar>
              <w:top w:type="dxa" w:w="100"/>
              <w:left w:type="dxa" w:w="160"/>
              <w:bottom w:type="dxa" w:w="100"/>
              <w:right w:type="dxa" w:w="120"/>
            </w:tcMar>
          </w:tcPr>
          <w:p>
            <w:pPr>
              <w:spacing w:after="40" w:before="40"/>
            </w:pPr>
            <w:r>
              <w:rPr>
                <w:rFonts w:ascii="Arial" w:cs="Arial" w:eastAsia="Arial" w:hAnsi="Arial"/>
                <w:b w:val="false"/>
                <w:bCs w:val="false"/>
                <w:i w:val="false"/>
                <w:iCs w:val="false"/>
                <w:color w:val="333333"/>
                <w:sz w:val="20"/>
                <w:szCs w:val="20"/>
              </w:rPr>
              <w:t xml:space="preserve">This Policy is effective from 3 May 2026 and supersedes all previous versions.</w:t>
            </w:r>
          </w:p>
          <w:p>
            <w:pPr>
              <w:spacing w:after="40" w:before="40"/>
            </w:pPr>
            <w:r>
              <w:rPr>
                <w:rFonts w:ascii="Arial" w:cs="Arial" w:eastAsia="Arial" w:hAnsi="Arial"/>
                <w:b w:val="false"/>
                <w:bCs w:val="false"/>
                <w:i w:val="false"/>
                <w:iCs w:val="false"/>
                <w:color w:val="000000"/>
                <w:sz w:val="20"/>
                <w:szCs w:val="20"/>
              </w:rPr>
              <w:t xml:space="preserve"> </w:t>
            </w:r>
          </w:p>
          <w:p>
            <w:pPr>
              <w:spacing w:after="40" w:before="40"/>
            </w:pPr>
            <w:r>
              <w:rPr>
                <w:rFonts w:ascii="Arial" w:cs="Arial" w:eastAsia="Arial" w:hAnsi="Arial"/>
                <w:b w:val="false"/>
                <w:bCs w:val="false"/>
                <w:i w:val="false"/>
                <w:iCs w:val="false"/>
                <w:color w:val="333333"/>
                <w:sz w:val="20"/>
                <w:szCs w:val="20"/>
              </w:rPr>
              <w:t xml:space="preserve">Approved by: ___________________________     Date: _______________</w:t>
            </w:r>
          </w:p>
          <w:p>
            <w:pPr>
              <w:spacing w:after="40" w:before="40"/>
            </w:pPr>
            <w:r>
              <w:rPr>
                <w:rFonts w:ascii="Arial" w:cs="Arial" w:eastAsia="Arial" w:hAnsi="Arial"/>
                <w:b w:val="false"/>
                <w:bCs w:val="false"/>
                <w:i w:val="false"/>
                <w:iCs w:val="false"/>
                <w:color w:val="333333"/>
                <w:sz w:val="20"/>
                <w:szCs w:val="20"/>
              </w:rPr>
              <w:t xml:space="preserve">Name:        ___________________________     Title: Chief Executive Officer</w:t>
            </w:r>
          </w:p>
        </w:tc>
      </w:tr>
    </w:tbl>
    <w:p>
      <w:pPr>
        <w:spacing w:after="180" w:before="0"/>
      </w:pPr>
      <w:r>
        <w:t xml:space="preserve"/>
      </w:r>
    </w:p>
    <w:p>
      <w:pPr>
        <w:pStyle w:val="Heading1"/>
        <w:spacing w:after="140" w:before="280"/>
      </w:pPr>
      <w:r>
        <w:rPr>
          <w:rFonts w:ascii="Arial" w:cs="Arial" w:eastAsia="Arial" w:hAnsi="Arial"/>
          <w:b/>
          <w:bCs/>
          <w:color w:val="1F3864"/>
          <w:sz w:val="28"/>
          <w:szCs w:val="28"/>
        </w:rPr>
        <w:t xml:space="preserve">13.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b/>
                <w:bCs/>
                <w:sz w:val="20"/>
                <w:szCs w:val="20"/>
              </w:rPr>
              <w:t xml:space="preserve">ISO/IEC 27001:2022</w:t>
            </w:r>
          </w:p>
        </w:tc>
        <w:tc>
          <w:tcPr>
            <w:tcW w:type="dxa" w:w="67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Information security, cybersecurity and privacy protection — ISMS Requirements</w:t>
            </w:r>
          </w:p>
        </w:tc>
      </w:tr>
      <w:tr>
        <w:tc>
          <w:tcPr>
            <w:tcW w:type="dxa" w:w="26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b/>
                <w:bCs/>
                <w:sz w:val="20"/>
                <w:szCs w:val="20"/>
              </w:rPr>
              <w:t xml:space="preserve">ISO/IEC 27002:2022</w:t>
            </w:r>
          </w:p>
        </w:tc>
        <w:tc>
          <w:tcPr>
            <w:tcW w:type="dxa" w:w="67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Information security, cybersecurity and privacy protection — Information security controls</w:t>
            </w:r>
          </w:p>
        </w:tc>
      </w:tr>
      <w:tr>
        <w:tc>
          <w:tcPr>
            <w:tcW w:type="dxa" w:w="26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b/>
                <w:bCs/>
                <w:sz w:val="20"/>
                <w:szCs w:val="20"/>
              </w:rPr>
              <w:t xml:space="preserve">ISMS-SCO-001</w:t>
            </w:r>
          </w:p>
        </w:tc>
        <w:tc>
          <w:tcPr>
            <w:tcW w:type="dxa" w:w="67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ISMS Scope Document</w:t>
            </w:r>
          </w:p>
        </w:tc>
      </w:tr>
      <w:tr>
        <w:tc>
          <w:tcPr>
            <w:tcW w:type="dxa" w:w="26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b/>
                <w:bCs/>
                <w:sz w:val="20"/>
                <w:szCs w:val="20"/>
              </w:rPr>
              <w:t xml:space="preserve">ISMS-SOA-001</w:t>
            </w:r>
          </w:p>
        </w:tc>
        <w:tc>
          <w:tcPr>
            <w:tcW w:type="dxa" w:w="67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Statement of Applicability</w:t>
            </w:r>
          </w:p>
        </w:tc>
      </w:tr>
      <w:tr>
        <w:tc>
          <w:tcPr>
            <w:tcW w:type="dxa" w:w="26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b/>
                <w:bCs/>
                <w:sz w:val="20"/>
                <w:szCs w:val="20"/>
              </w:rPr>
              <w:t xml:space="preserve">ISMS-RSK-001</w:t>
            </w:r>
          </w:p>
        </w:tc>
        <w:tc>
          <w:tcPr>
            <w:tcW w:type="dxa" w:w="67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Risk Assessment and Risk Treatment Plan</w:t>
            </w:r>
          </w:p>
        </w:tc>
      </w:tr>
      <w:tr>
        <w:tc>
          <w:tcPr>
            <w:tcW w:type="dxa" w:w="26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tcPr>
          <w:p>
            <w:r>
              <w:rPr>
                <w:rFonts w:ascii="Arial" w:cs="Arial" w:eastAsia="Arial" w:hAnsi="Arial"/>
                <w:b/>
                <w:bCs/>
                <w:sz w:val="20"/>
                <w:szCs w:val="20"/>
              </w:rPr>
              <w:t xml:space="preserve">ISMS-RRR-001</w:t>
            </w:r>
          </w:p>
        </w:tc>
        <w:tc>
          <w:tcPr>
            <w:tcW w:type="dxa" w:w="67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ISMS Roles and Responsibilities Register</w:t>
            </w:r>
          </w:p>
        </w:tc>
      </w:tr>
      <w:tr>
        <w:tc>
          <w:tcPr>
            <w:tcW w:type="dxa" w:w="26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b/>
                <w:bCs/>
                <w:sz w:val="20"/>
                <w:szCs w:val="20"/>
              </w:rPr>
              <w:t xml:space="preserve">ISMS-OBJ-001</w:t>
            </w:r>
          </w:p>
        </w:tc>
        <w:tc>
          <w:tcPr>
            <w:tcW w:type="dxa" w:w="67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Arial" w:cs="Arial" w:eastAsia="Arial" w:hAnsi="Arial"/>
                <w:sz w:val="20"/>
                <w:szCs w:val="20"/>
              </w:rPr>
              <w:t xml:space="preserve">ISMS Objectives Register</w:t>
            </w:r>
          </w:p>
        </w:tc>
      </w:tr>
    </w:tbl>
    <w:sectPr>
      <w:footerReference w:type="default" r:id="rId7"/>
      <w:pgSz w:w="11906" w:h="16838" w:orient="portrait"/>
      <w:pgMar w:top="1440" w:right="1152" w:bottom="144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80"/>
    </w:pPr>
    <w:r>
      <w:rPr>
        <w:rFonts w:ascii="Arial" w:cs="Arial" w:eastAsia="Arial" w:hAnsi="Arial"/>
        <w:color w:val="777777"/>
        <w:sz w:val="18"/>
        <w:szCs w:val="18"/>
      </w:rPr>
      <w:t xml:space="preserve">ISMS-POL-001  |  Information Security Policy  |  [Organization Name]  |  INTERNAL  |  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2026-05-03T00:11:09.829Z</dcterms:created>
  <dcterms:modified xsi:type="dcterms:W3CDTF">2026-05-03T00:11:09.830Z</dcterms:modified>
</cp:coreProperties>
</file>

<file path=docProps/custom.xml><?xml version="1.0" encoding="utf-8"?>
<Properties xmlns="http://schemas.openxmlformats.org/officeDocument/2006/custom-properties" xmlns:vt="http://schemas.openxmlformats.org/officeDocument/2006/docPropsVTypes"/>
</file>