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450" w:before="0"/>
        <w:ind/>
        <w:rPr/>
      </w:pPr>
      <w:r/>
      <w:r/>
    </w:p>
    <w:p>
      <w:pPr>
        <w:pBdr/>
        <w:spacing w:after="120" w:before="0"/>
        <w:ind/>
        <w:jc w:val="center"/>
        <w:rPr/>
      </w:pPr>
      <w:r>
        <w:rPr>
          <w:rFonts w:ascii="Arial" w:hAnsi="Arial" w:eastAsia="Arial" w:cs="Arial"/>
          <w:b/>
          <w:bCs/>
          <w:color w:val="1f3864"/>
          <w:sz w:val="28"/>
          <w:szCs w:val="28"/>
        </w:rPr>
        <w:t xml:space="preserve">INFORMATION SECURITY MANAGEMENT SYSTEM</w:t>
      </w:r>
      <w:r/>
    </w:p>
    <w:p>
      <w:pPr>
        <w:pBdr/>
        <w:spacing w:after="400" w:before="0"/>
        <w:ind/>
        <w:jc w:val="center"/>
        <w:rPr/>
      </w:pPr>
      <w:r>
        <w:rPr>
          <w:rFonts w:ascii="Arial" w:hAnsi="Arial" w:eastAsia="Arial" w:cs="Arial"/>
          <w:b/>
          <w:bCs/>
          <w:color w:val="2e75b6"/>
          <w:sz w:val="52"/>
          <w:szCs w:val="52"/>
        </w:rPr>
        <w:t xml:space="preserve">IS Objectives Register</w:t>
      </w:r>
      <w:r/>
    </w:p>
    <w:p>
      <w:pPr>
        <w:pBdr>
          <w:bottom w:val="single" w:color="2e75b6" w:sz="6" w:space="0"/>
        </w:pBdr>
        <w:spacing w:after="400" w:before="0"/>
        <w:ind/>
        <w:jc w:val="center"/>
        <w:rPr/>
      </w:pPr>
      <w:r/>
      <w:r/>
    </w:p>
    <w:p>
      <w:pPr>
        <w:pBdr/>
        <w:spacing w:after="180" w:before="0"/>
        <w:ind/>
        <w:rPr/>
      </w:pPr>
      <w:r/>
      <w:r/>
    </w:p>
    <w:p>
      <w:pPr>
        <w:pBdr/>
        <w:spacing w:after="100" w:before="0"/>
        <w:ind/>
        <w:jc w:val="center"/>
        <w:rPr/>
      </w:pPr>
      <w:r>
        <w:rPr>
          <w:rFonts w:ascii="Arial" w:hAnsi="Arial" w:eastAsia="Arial" w:cs="Arial"/>
          <w:b/>
          <w:bCs/>
          <w:color w:val="1f3864"/>
          <w:sz w:val="28"/>
          <w:szCs w:val="28"/>
        </w:rPr>
        <w:t xml:space="preserve">[Organization Name] Co., Ltd.</w:t>
      </w:r>
      <w:r/>
    </w:p>
    <w:p>
      <w:pPr>
        <w:pBdr/>
        <w:spacing w:after="100" w:before="0"/>
        <w:ind/>
        <w:jc w:val="center"/>
        <w:rPr/>
      </w:pPr>
      <w:r>
        <w:rPr>
          <w:rFonts w:ascii="Arial" w:hAnsi="Arial" w:eastAsia="Arial" w:cs="Arial"/>
          <w:color w:val="555555"/>
          <w:sz w:val="22"/>
          <w:szCs w:val="22"/>
        </w:rPr>
        <w:t xml:space="preserve">Document Reference: ISMS-OBJ-001  |  Version 1.0  |  5 May 2026</w:t>
      </w:r>
      <w:r/>
    </w:p>
    <w:p>
      <w:pPr>
        <w:pBdr/>
        <w:spacing w:after="80" w:before="0"/>
        <w:ind/>
        <w:jc w:val="center"/>
        <w:rPr/>
      </w:pPr>
      <w:r>
        <w:rPr>
          <w:rFonts w:ascii="Arial" w:hAnsi="Arial" w:eastAsia="Arial" w:cs="Arial"/>
          <w:color w:val="777777"/>
          <w:sz w:val="20"/>
          <w:szCs w:val="20"/>
        </w:rPr>
        <w:t xml:space="preserve">ISO/IEC 27001:2022 — Clause 6.2</w:t>
      </w:r>
      <w:r/>
    </w:p>
    <w:p>
      <w:pPr>
        <w:pageBreakBefore w:val="true"/>
        <w:pBdr/>
        <w:spacing/>
        <w:ind/>
        <w:rPr/>
      </w:pPr>
      <w:r/>
      <w:r/>
    </w:p>
    <w:p>
      <w:pPr>
        <w:pStyle w:val="735"/>
        <w:pBdr/>
        <w:spacing w:after="130" w:before="260"/>
        <w:ind/>
        <w:rPr/>
      </w:pPr>
      <w:r>
        <w:rPr>
          <w:rFonts w:ascii="Arial" w:hAnsi="Arial" w:eastAsia="Arial" w:cs="Arial"/>
          <w:b/>
          <w:bCs/>
          <w:color w:val="1f3864"/>
          <w:sz w:val="28"/>
          <w:szCs w:val="28"/>
        </w:rPr>
        <w:t xml:space="preserve">1. Document Control</w:t>
      </w:r>
      <w:r/>
    </w:p>
    <w:p>
      <w:pPr>
        <w:pBdr/>
        <w:spacing w:after="90" w:before="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800"/>
        <w:gridCol w:w="6560"/>
      </w:tblGrid>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70" w:type="dxa"/>
              <w:right w:w="120" w:type="dxa"/>
              <w:bottom w:w="70" w:type="dxa"/>
            </w:tcMar>
            <w:tcW w:w="2800" w:type="dxa"/>
          </w:tcPr>
          <w:p>
            <w:pPr>
              <w:pBdr/>
              <w:spacing/>
              <w:ind/>
              <w:rPr/>
            </w:pPr>
            <w:r>
              <w:rPr>
                <w:rFonts w:ascii="Arial" w:hAnsi="Arial" w:eastAsia="Arial" w:cs="Arial"/>
                <w:b/>
                <w:bCs/>
                <w:sz w:val="20"/>
                <w:szCs w:val="20"/>
              </w:rPr>
              <w:t xml:space="preserve">Document Title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70" w:type="dxa"/>
              <w:right w:w="120" w:type="dxa"/>
              <w:bottom w:w="70" w:type="dxa"/>
            </w:tcMar>
            <w:tcW w:w="6560" w:type="dxa"/>
          </w:tcPr>
          <w:p>
            <w:pPr>
              <w:pBdr/>
              <w:spacing/>
              <w:ind/>
              <w:rPr/>
            </w:pPr>
            <w:r>
              <w:rPr>
                <w:rFonts w:ascii="Arial" w:hAnsi="Arial" w:eastAsia="Arial" w:cs="Arial"/>
                <w:sz w:val="20"/>
                <w:szCs w:val="20"/>
              </w:rPr>
              <w:t xml:space="preserve">IS Objectives Register</w:t>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70" w:type="dxa"/>
              <w:right w:w="120" w:type="dxa"/>
              <w:bottom w:w="70" w:type="dxa"/>
            </w:tcMar>
            <w:tcW w:w="2800" w:type="dxa"/>
          </w:tcPr>
          <w:p>
            <w:pPr>
              <w:pBdr/>
              <w:spacing/>
              <w:ind/>
              <w:rPr/>
            </w:pPr>
            <w:r>
              <w:rPr>
                <w:rFonts w:ascii="Arial" w:hAnsi="Arial" w:eastAsia="Arial" w:cs="Arial"/>
                <w:b/>
                <w:bCs/>
                <w:sz w:val="20"/>
                <w:szCs w:val="20"/>
              </w:rPr>
              <w:t xml:space="preserve">Document Reference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70" w:type="dxa"/>
              <w:right w:w="120" w:type="dxa"/>
              <w:bottom w:w="70" w:type="dxa"/>
            </w:tcMar>
            <w:tcW w:w="6560" w:type="dxa"/>
          </w:tcPr>
          <w:p>
            <w:pPr>
              <w:pBdr/>
              <w:spacing/>
              <w:ind/>
              <w:rPr/>
            </w:pPr>
            <w:r>
              <w:rPr>
                <w:rFonts w:ascii="Arial" w:hAnsi="Arial" w:eastAsia="Arial" w:cs="Arial"/>
                <w:sz w:val="20"/>
                <w:szCs w:val="20"/>
              </w:rPr>
              <w:t xml:space="preserve">ISMS-OBJ-001</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70" w:type="dxa"/>
              <w:right w:w="120" w:type="dxa"/>
              <w:bottom w:w="70" w:type="dxa"/>
            </w:tcMar>
            <w:tcW w:w="2800" w:type="dxa"/>
          </w:tcPr>
          <w:p>
            <w:pPr>
              <w:pBdr/>
              <w:spacing/>
              <w:ind/>
              <w:rPr/>
            </w:pPr>
            <w:r>
              <w:rPr>
                <w:rFonts w:ascii="Arial" w:hAnsi="Arial" w:eastAsia="Arial" w:cs="Arial"/>
                <w:b/>
                <w:bCs/>
                <w:sz w:val="20"/>
                <w:szCs w:val="20"/>
              </w:rPr>
              <w:t xml:space="preserve">Version</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70" w:type="dxa"/>
              <w:right w:w="120" w:type="dxa"/>
              <w:bottom w:w="70" w:type="dxa"/>
            </w:tcMar>
            <w:tcW w:w="6560" w:type="dxa"/>
          </w:tcPr>
          <w:p>
            <w:pPr>
              <w:pBdr/>
              <w:spacing/>
              <w:ind/>
              <w:rPr/>
            </w:pPr>
            <w:r>
              <w:rPr>
                <w:rFonts w:ascii="Arial" w:hAnsi="Arial" w:eastAsia="Arial" w:cs="Arial"/>
                <w:sz w:val="20"/>
                <w:szCs w:val="20"/>
              </w:rPr>
              <w:t xml:space="preserve">1.0</w:t>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70" w:type="dxa"/>
              <w:right w:w="120" w:type="dxa"/>
              <w:bottom w:w="70" w:type="dxa"/>
            </w:tcMar>
            <w:tcW w:w="2800" w:type="dxa"/>
          </w:tcPr>
          <w:p>
            <w:pPr>
              <w:pBdr/>
              <w:spacing/>
              <w:ind/>
              <w:rPr/>
            </w:pPr>
            <w:r>
              <w:rPr>
                <w:rFonts w:ascii="Arial" w:hAnsi="Arial" w:eastAsia="Arial" w:cs="Arial"/>
                <w:b/>
                <w:bCs/>
                <w:sz w:val="20"/>
                <w:szCs w:val="20"/>
              </w:rPr>
              <w:t xml:space="preserve">Status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70" w:type="dxa"/>
              <w:right w:w="120" w:type="dxa"/>
              <w:bottom w:w="70" w:type="dxa"/>
            </w:tcMar>
            <w:tcW w:w="6560" w:type="dxa"/>
          </w:tcPr>
          <w:p>
            <w:pPr>
              <w:pBdr/>
              <w:spacing/>
              <w:ind/>
              <w:rPr/>
            </w:pPr>
            <w:r>
              <w:rPr>
                <w:rFonts w:ascii="Arial" w:hAnsi="Arial" w:eastAsia="Arial" w:cs="Arial"/>
                <w:sz w:val="20"/>
                <w:szCs w:val="20"/>
              </w:rPr>
              <w:t xml:space="preserve">Approved</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70" w:type="dxa"/>
              <w:right w:w="120" w:type="dxa"/>
              <w:bottom w:w="70" w:type="dxa"/>
            </w:tcMar>
            <w:tcW w:w="2800" w:type="dxa"/>
          </w:tcPr>
          <w:p>
            <w:pPr>
              <w:pBdr/>
              <w:spacing/>
              <w:ind/>
              <w:rPr/>
            </w:pPr>
            <w:r>
              <w:rPr>
                <w:rFonts w:ascii="Arial" w:hAnsi="Arial" w:eastAsia="Arial" w:cs="Arial"/>
                <w:b/>
                <w:bCs/>
                <w:sz w:val="20"/>
                <w:szCs w:val="20"/>
              </w:rPr>
              <w:t xml:space="preserve">Author</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70" w:type="dxa"/>
              <w:right w:w="120" w:type="dxa"/>
              <w:bottom w:w="70" w:type="dxa"/>
            </w:tcMar>
            <w:tcW w:w="6560" w:type="dxa"/>
          </w:tcPr>
          <w:p>
            <w:pPr>
              <w:pBdr/>
              <w:spacing/>
              <w:ind/>
              <w:rPr/>
            </w:pPr>
            <w:r>
              <w:rPr>
                <w:rFonts w:ascii="Arial" w:hAnsi="Arial" w:eastAsia="Arial" w:cs="Arial"/>
                <w:sz w:val="20"/>
                <w:szCs w:val="20"/>
              </w:rPr>
              <w:t xml:space="preserve">Information Security Manager</w:t>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70" w:type="dxa"/>
              <w:right w:w="120" w:type="dxa"/>
              <w:bottom w:w="70" w:type="dxa"/>
            </w:tcMar>
            <w:tcW w:w="2800" w:type="dxa"/>
          </w:tcPr>
          <w:p>
            <w:pPr>
              <w:pBdr/>
              <w:spacing/>
              <w:ind/>
              <w:rPr/>
            </w:pPr>
            <w:r>
              <w:rPr>
                <w:rFonts w:ascii="Arial" w:hAnsi="Arial" w:eastAsia="Arial" w:cs="Arial"/>
                <w:b/>
                <w:bCs/>
                <w:sz w:val="20"/>
                <w:szCs w:val="20"/>
              </w:rPr>
              <w:t xml:space="preserve">Approved By</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70" w:type="dxa"/>
              <w:right w:w="120" w:type="dxa"/>
              <w:bottom w:w="70" w:type="dxa"/>
            </w:tcMar>
            <w:tcW w:w="6560" w:type="dxa"/>
          </w:tcPr>
          <w:p>
            <w:pPr>
              <w:pBdr/>
              <w:spacing/>
              <w:ind/>
              <w:rPr/>
            </w:pPr>
            <w:r>
              <w:rPr>
                <w:rFonts w:ascii="Arial" w:hAnsi="Arial" w:eastAsia="Arial" w:cs="Arial"/>
                <w:sz w:val="20"/>
                <w:szCs w:val="20"/>
              </w:rPr>
              <w:t xml:space="preserve">CISO / CEO</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70" w:type="dxa"/>
              <w:right w:w="120" w:type="dxa"/>
              <w:bottom w:w="70" w:type="dxa"/>
            </w:tcMar>
            <w:tcW w:w="2800" w:type="dxa"/>
          </w:tcPr>
          <w:p>
            <w:pPr>
              <w:pBdr/>
              <w:spacing/>
              <w:ind/>
              <w:rPr/>
            </w:pPr>
            <w:r>
              <w:rPr>
                <w:rFonts w:ascii="Arial" w:hAnsi="Arial" w:eastAsia="Arial" w:cs="Arial"/>
                <w:b/>
                <w:bCs/>
                <w:sz w:val="20"/>
                <w:szCs w:val="20"/>
              </w:rPr>
              <w:t xml:space="preserve">Date of Issue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70" w:type="dxa"/>
              <w:right w:w="120" w:type="dxa"/>
              <w:bottom w:w="70" w:type="dxa"/>
            </w:tcMar>
            <w:tcW w:w="6560" w:type="dxa"/>
          </w:tcPr>
          <w:p>
            <w:pPr>
              <w:pBdr/>
              <w:spacing/>
              <w:ind/>
              <w:rPr/>
            </w:pPr>
            <w:r>
              <w:rPr>
                <w:rFonts w:ascii="Arial" w:hAnsi="Arial" w:eastAsia="Arial" w:cs="Arial"/>
                <w:sz w:val="20"/>
                <w:szCs w:val="20"/>
              </w:rPr>
              <w:t xml:space="preserve">5 May 2026</w:t>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70" w:type="dxa"/>
              <w:right w:w="120" w:type="dxa"/>
              <w:bottom w:w="70" w:type="dxa"/>
            </w:tcMar>
            <w:tcW w:w="2800" w:type="dxa"/>
          </w:tcPr>
          <w:p>
            <w:pPr>
              <w:pBdr/>
              <w:spacing/>
              <w:ind/>
              <w:rPr/>
            </w:pPr>
            <w:r>
              <w:rPr>
                <w:rFonts w:ascii="Arial" w:hAnsi="Arial" w:eastAsia="Arial" w:cs="Arial"/>
                <w:b/>
                <w:bCs/>
                <w:sz w:val="20"/>
                <w:szCs w:val="20"/>
              </w:rPr>
              <w:t xml:space="preserve">Next Review Date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70" w:type="dxa"/>
              <w:right w:w="120" w:type="dxa"/>
              <w:bottom w:w="70" w:type="dxa"/>
            </w:tcMar>
            <w:tcW w:w="6560" w:type="dxa"/>
          </w:tcPr>
          <w:p>
            <w:pPr>
              <w:pBdr/>
              <w:spacing/>
              <w:ind/>
              <w:rPr/>
            </w:pPr>
            <w:r>
              <w:rPr>
                <w:rFonts w:ascii="Arial" w:hAnsi="Arial" w:eastAsia="Arial" w:cs="Arial"/>
                <w:sz w:val="20"/>
                <w:szCs w:val="20"/>
              </w:rPr>
              <w:t xml:space="preserve">5 May 2027</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70" w:type="dxa"/>
              <w:right w:w="120" w:type="dxa"/>
              <w:bottom w:w="70" w:type="dxa"/>
            </w:tcMar>
            <w:tcW w:w="2800" w:type="dxa"/>
          </w:tcPr>
          <w:p>
            <w:pPr>
              <w:pBdr/>
              <w:spacing/>
              <w:ind/>
              <w:rPr/>
            </w:pPr>
            <w:r>
              <w:rPr>
                <w:rFonts w:ascii="Arial" w:hAnsi="Arial" w:eastAsia="Arial" w:cs="Arial"/>
                <w:b/>
                <w:bCs/>
                <w:sz w:val="20"/>
                <w:szCs w:val="20"/>
              </w:rPr>
              <w:t xml:space="preserve">ISO 27001 Clause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70" w:type="dxa"/>
              <w:right w:w="120" w:type="dxa"/>
              <w:bottom w:w="70" w:type="dxa"/>
            </w:tcMar>
            <w:tcW w:w="6560" w:type="dxa"/>
          </w:tcPr>
          <w:p>
            <w:pPr>
              <w:pBdr/>
              <w:spacing/>
              <w:ind/>
              <w:rPr/>
            </w:pPr>
            <w:r>
              <w:rPr>
                <w:rFonts w:ascii="Arial" w:hAnsi="Arial" w:eastAsia="Arial" w:cs="Arial"/>
                <w:sz w:val="20"/>
                <w:szCs w:val="20"/>
              </w:rPr>
              <w:t xml:space="preserve">Clause 6.2 — Information security objectives and planning to achieve them</w:t>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70" w:type="dxa"/>
              <w:right w:w="120" w:type="dxa"/>
              <w:bottom w:w="70" w:type="dxa"/>
            </w:tcMar>
            <w:tcW w:w="2800" w:type="dxa"/>
          </w:tcPr>
          <w:p>
            <w:pPr>
              <w:pBdr/>
              <w:spacing/>
              <w:ind/>
              <w:rPr/>
            </w:pPr>
            <w:r>
              <w:rPr>
                <w:rFonts w:ascii="Arial" w:hAnsi="Arial" w:eastAsia="Arial" w:cs="Arial"/>
                <w:b/>
                <w:bCs/>
                <w:sz w:val="20"/>
                <w:szCs w:val="20"/>
              </w:rPr>
              <w:t xml:space="preserve">Related Documents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70" w:type="dxa"/>
              <w:right w:w="120" w:type="dxa"/>
              <w:bottom w:w="70" w:type="dxa"/>
            </w:tcMar>
            <w:tcW w:w="6560" w:type="dxa"/>
          </w:tcPr>
          <w:p>
            <w:pPr>
              <w:pBdr/>
              <w:spacing/>
              <w:ind/>
              <w:rPr/>
            </w:pPr>
            <w:r>
              <w:rPr>
                <w:rFonts w:ascii="Arial" w:hAnsi="Arial" w:eastAsia="Arial" w:cs="Arial"/>
                <w:sz w:val="20"/>
                <w:szCs w:val="20"/>
              </w:rPr>
              <w:t xml:space="preserve">ISMS-POL-001 (IS Policy) | ISMS-RSK-001 (Risk Register) | ISMS-MRV-001 (Management Review)</w:t>
            </w:r>
            <w:r/>
          </w:p>
        </w:tc>
      </w:tr>
    </w:tbl>
    <w:p>
      <w:pPr>
        <w:pBdr/>
        <w:spacing w:after="180" w:before="0"/>
        <w:ind/>
        <w:rPr/>
      </w:pPr>
      <w:r/>
      <w:r/>
    </w:p>
    <w:p>
      <w:pPr>
        <w:pStyle w:val="735"/>
        <w:pBdr/>
        <w:spacing w:after="130" w:before="260"/>
        <w:ind/>
        <w:rPr/>
      </w:pPr>
      <w:r>
        <w:rPr>
          <w:rFonts w:ascii="Arial" w:hAnsi="Arial" w:eastAsia="Arial" w:cs="Arial"/>
          <w:b/>
          <w:bCs/>
          <w:color w:val="1f3864"/>
          <w:sz w:val="28"/>
          <w:szCs w:val="28"/>
        </w:rPr>
        <w:t xml:space="preserve">2. Purpose</w:t>
      </w:r>
      <w:r/>
    </w:p>
    <w:p>
      <w:pPr>
        <w:pBdr/>
        <w:spacing w:after="60" w:before="60"/>
        <w:ind/>
        <w:rPr/>
      </w:pPr>
      <w:r>
        <w:rPr>
          <w:rFonts w:ascii="Arial" w:hAnsi="Arial" w:eastAsia="Arial" w:cs="Arial"/>
          <w:sz w:val="22"/>
          <w:szCs w:val="22"/>
        </w:rPr>
        <w:t xml:space="preserve">This register do</w:t>
      </w:r>
      <w:r>
        <w:rPr>
          <w:rFonts w:ascii="Arial" w:hAnsi="Arial" w:eastAsia="Arial" w:cs="Arial"/>
          <w:sz w:val="22"/>
          <w:szCs w:val="22"/>
        </w:rPr>
        <w:t xml:space="preserve">cuments the information security objectives of [Organization Name] Co., Ltd. established in accordance with ISO/IEC 27001:2022 Clause 6.2. IS objectives must be consistent with the IS Policy, measurable, monitored, communicated, and updated as appropriate.</w:t>
      </w:r>
      <w:r/>
    </w:p>
    <w:p>
      <w:pPr>
        <w:pBdr/>
        <w:spacing w:after="90" w:before="0"/>
        <w:ind/>
        <w:rPr/>
      </w:pPr>
      <w:r/>
      <w:r/>
    </w:p>
    <w:p>
      <w:pPr>
        <w:pBdr/>
        <w:spacing w:after="60" w:before="60"/>
        <w:ind/>
        <w:rPr/>
      </w:pPr>
      <w:r>
        <w:rPr>
          <w:rFonts w:ascii="Arial" w:hAnsi="Arial" w:eastAsia="Arial" w:cs="Arial"/>
          <w:sz w:val="22"/>
          <w:szCs w:val="22"/>
        </w:rPr>
        <w:t xml:space="preserve">Clause 6.2 requires that for each objective, the Organization shall determine: (a) what will be done; (b) what resources will be required; (c) who will be responsible; (d) when it will be completed; and (e) how the results will be evaluated.</w:t>
      </w:r>
      <w:r/>
    </w:p>
    <w:p>
      <w:pPr>
        <w:pBdr/>
        <w:spacing w:after="180" w:before="0"/>
        <w:ind/>
        <w:rPr/>
      </w:pPr>
      <w:r/>
      <w:r/>
    </w:p>
    <w:p>
      <w:pPr>
        <w:pStyle w:val="735"/>
        <w:pBdr/>
        <w:spacing w:after="130" w:before="260"/>
        <w:ind/>
        <w:rPr/>
      </w:pPr>
      <w:r>
        <w:rPr>
          <w:rFonts w:ascii="Arial" w:hAnsi="Arial" w:eastAsia="Arial" w:cs="Arial"/>
          <w:b/>
          <w:bCs/>
          <w:color w:val="1f3864"/>
          <w:sz w:val="28"/>
          <w:szCs w:val="28"/>
        </w:rPr>
        <w:t xml:space="preserve">3. IS Objectives Register</w:t>
      </w:r>
      <w:r/>
    </w:p>
    <w:p>
      <w:pPr>
        <w:pBdr/>
        <w:spacing w:after="90" w:before="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40"/>
        <w:gridCol w:w="2700"/>
        <w:gridCol w:w="900"/>
        <w:gridCol w:w="1000"/>
        <w:gridCol w:w="1500"/>
        <w:gridCol w:w="1000"/>
        <w:gridCol w:w="880"/>
        <w:gridCol w:w="940"/>
      </w:tblGrid>
      <w:tr>
        <w:trPr>
          <w:tblHeader/>
        </w:trPr>
        <w:tc>
          <w:tcPr>
            <w:shd w:val="clear" w:color="auto" w:fill="2e75b6"/>
            <w:tcBorders>
              <w:top w:val="single" w:color="cccccc" w:sz="1" w:space="0"/>
              <w:left w:val="single" w:color="cccccc" w:sz="1" w:space="0"/>
              <w:bottom w:val="single" w:color="cccccc" w:sz="1" w:space="0"/>
              <w:right w:val="single" w:color="cccccc" w:sz="1" w:space="0"/>
            </w:tcBorders>
            <w:tcMar>
              <w:left w:w="100" w:type="dxa"/>
              <w:top w:w="70" w:type="dxa"/>
              <w:right w:w="80" w:type="dxa"/>
              <w:bottom w:w="70" w:type="dxa"/>
            </w:tcMar>
            <w:tcW w:w="440" w:type="dxa"/>
          </w:tcPr>
          <w:p>
            <w:pPr>
              <w:pBdr/>
              <w:spacing/>
              <w:ind/>
              <w:jc w:val="center"/>
              <w:rPr/>
            </w:pPr>
            <w:r>
              <w:rPr>
                <w:rFonts w:ascii="Arial" w:hAnsi="Arial" w:eastAsia="Arial" w:cs="Arial"/>
                <w:b/>
                <w:bCs/>
                <w:color w:val="ffffff"/>
                <w:sz w:val="17"/>
                <w:szCs w:val="17"/>
              </w:rPr>
              <w:t xml:space="preserve">ID</w:t>
            </w:r>
            <w:r/>
          </w:p>
        </w:tc>
        <w:tc>
          <w:tcPr>
            <w:shd w:val="clear" w:color="auto" w:fill="2e75b6"/>
            <w:tcBorders>
              <w:top w:val="single" w:color="cccccc" w:sz="1" w:space="0"/>
              <w:left w:val="single" w:color="cccccc" w:sz="1" w:space="0"/>
              <w:bottom w:val="single" w:color="cccccc" w:sz="1" w:space="0"/>
              <w:right w:val="single" w:color="cccccc" w:sz="1" w:space="0"/>
            </w:tcBorders>
            <w:tcMar>
              <w:left w:w="100" w:type="dxa"/>
              <w:top w:w="70" w:type="dxa"/>
              <w:right w:w="80" w:type="dxa"/>
              <w:bottom w:w="70" w:type="dxa"/>
            </w:tcMar>
            <w:tcW w:w="2700" w:type="dxa"/>
          </w:tcPr>
          <w:p>
            <w:pPr>
              <w:pBdr/>
              <w:spacing/>
              <w:ind/>
              <w:jc w:val="center"/>
              <w:rPr/>
            </w:pPr>
            <w:r>
              <w:rPr>
                <w:rFonts w:ascii="Arial" w:hAnsi="Arial" w:eastAsia="Arial" w:cs="Arial"/>
                <w:b/>
                <w:bCs/>
                <w:color w:val="ffffff"/>
                <w:sz w:val="17"/>
                <w:szCs w:val="17"/>
              </w:rPr>
              <w:t xml:space="preserve">Objective</w:t>
            </w:r>
            <w:r/>
          </w:p>
        </w:tc>
        <w:tc>
          <w:tcPr>
            <w:shd w:val="clear" w:color="auto" w:fill="2e75b6"/>
            <w:tcBorders>
              <w:top w:val="single" w:color="cccccc" w:sz="1" w:space="0"/>
              <w:left w:val="single" w:color="cccccc" w:sz="1" w:space="0"/>
              <w:bottom w:val="single" w:color="cccccc" w:sz="1" w:space="0"/>
              <w:right w:val="single" w:color="cccccc" w:sz="1" w:space="0"/>
            </w:tcBorders>
            <w:tcMar>
              <w:left w:w="100" w:type="dxa"/>
              <w:top w:w="70" w:type="dxa"/>
              <w:right w:w="80" w:type="dxa"/>
              <w:bottom w:w="70" w:type="dxa"/>
            </w:tcMar>
            <w:tcW w:w="900" w:type="dxa"/>
          </w:tcPr>
          <w:p>
            <w:pPr>
              <w:pBdr/>
              <w:spacing/>
              <w:ind/>
              <w:jc w:val="center"/>
              <w:rPr/>
            </w:pPr>
            <w:r>
              <w:rPr>
                <w:rFonts w:ascii="Arial" w:hAnsi="Arial" w:eastAsia="Arial" w:cs="Arial"/>
                <w:b/>
                <w:bCs/>
                <w:color w:val="ffffff"/>
                <w:sz w:val="17"/>
                <w:szCs w:val="17"/>
              </w:rPr>
              <w:t xml:space="preserve">Target</w:t>
            </w:r>
            <w:r/>
          </w:p>
        </w:tc>
        <w:tc>
          <w:tcPr>
            <w:shd w:val="clear" w:color="auto" w:fill="2e75b6"/>
            <w:tcBorders>
              <w:top w:val="single" w:color="cccccc" w:sz="1" w:space="0"/>
              <w:left w:val="single" w:color="cccccc" w:sz="1" w:space="0"/>
              <w:bottom w:val="single" w:color="cccccc" w:sz="1" w:space="0"/>
              <w:right w:val="single" w:color="cccccc" w:sz="1" w:space="0"/>
            </w:tcBorders>
            <w:tcMar>
              <w:left w:w="100" w:type="dxa"/>
              <w:top w:w="70" w:type="dxa"/>
              <w:right w:w="80" w:type="dxa"/>
              <w:bottom w:w="70" w:type="dxa"/>
            </w:tcMar>
            <w:tcW w:w="1000" w:type="dxa"/>
          </w:tcPr>
          <w:p>
            <w:pPr>
              <w:pBdr/>
              <w:spacing/>
              <w:ind/>
              <w:jc w:val="center"/>
              <w:rPr/>
            </w:pPr>
            <w:r>
              <w:rPr>
                <w:rFonts w:ascii="Arial" w:hAnsi="Arial" w:eastAsia="Arial" w:cs="Arial"/>
                <w:b/>
                <w:bCs/>
                <w:color w:val="ffffff"/>
                <w:sz w:val="17"/>
                <w:szCs w:val="17"/>
              </w:rPr>
              <w:t xml:space="preserve">Owner</w:t>
            </w:r>
            <w:r/>
          </w:p>
        </w:tc>
        <w:tc>
          <w:tcPr>
            <w:shd w:val="clear" w:color="auto" w:fill="2e75b6"/>
            <w:tcBorders>
              <w:top w:val="single" w:color="cccccc" w:sz="1" w:space="0"/>
              <w:left w:val="single" w:color="cccccc" w:sz="1" w:space="0"/>
              <w:bottom w:val="single" w:color="cccccc" w:sz="1" w:space="0"/>
              <w:right w:val="single" w:color="cccccc" w:sz="1" w:space="0"/>
            </w:tcBorders>
            <w:tcMar>
              <w:left w:w="100" w:type="dxa"/>
              <w:top w:w="70" w:type="dxa"/>
              <w:right w:w="80" w:type="dxa"/>
              <w:bottom w:w="70" w:type="dxa"/>
            </w:tcMar>
            <w:tcW w:w="1500" w:type="dxa"/>
          </w:tcPr>
          <w:p>
            <w:pPr>
              <w:pBdr/>
              <w:spacing/>
              <w:ind/>
              <w:jc w:val="center"/>
              <w:rPr/>
            </w:pPr>
            <w:r>
              <w:rPr>
                <w:rFonts w:ascii="Arial" w:hAnsi="Arial" w:eastAsia="Arial" w:cs="Arial"/>
                <w:b/>
                <w:bCs/>
                <w:color w:val="ffffff"/>
                <w:sz w:val="17"/>
                <w:szCs w:val="17"/>
              </w:rPr>
              <w:t xml:space="preserve">Measurement Method</w:t>
            </w:r>
            <w:r/>
          </w:p>
        </w:tc>
        <w:tc>
          <w:tcPr>
            <w:shd w:val="clear" w:color="auto" w:fill="2e75b6"/>
            <w:tcBorders>
              <w:top w:val="single" w:color="cccccc" w:sz="1" w:space="0"/>
              <w:left w:val="single" w:color="cccccc" w:sz="1" w:space="0"/>
              <w:bottom w:val="single" w:color="cccccc" w:sz="1" w:space="0"/>
              <w:right w:val="single" w:color="cccccc" w:sz="1" w:space="0"/>
            </w:tcBorders>
            <w:tcMar>
              <w:left w:w="100" w:type="dxa"/>
              <w:top w:w="70" w:type="dxa"/>
              <w:right w:w="80" w:type="dxa"/>
              <w:bottom w:w="70" w:type="dxa"/>
            </w:tcMar>
            <w:tcW w:w="1000" w:type="dxa"/>
          </w:tcPr>
          <w:p>
            <w:pPr>
              <w:pBdr/>
              <w:spacing/>
              <w:ind/>
              <w:jc w:val="center"/>
              <w:rPr/>
            </w:pPr>
            <w:r>
              <w:rPr>
                <w:rFonts w:ascii="Arial" w:hAnsi="Arial" w:eastAsia="Arial" w:cs="Arial"/>
                <w:b/>
                <w:bCs/>
                <w:color w:val="ffffff"/>
                <w:sz w:val="17"/>
                <w:szCs w:val="17"/>
              </w:rPr>
              <w:t xml:space="preserve">Resources Required</w:t>
            </w:r>
            <w:r/>
          </w:p>
        </w:tc>
        <w:tc>
          <w:tcPr>
            <w:shd w:val="clear" w:color="auto" w:fill="2e75b6"/>
            <w:tcBorders>
              <w:top w:val="single" w:color="cccccc" w:sz="1" w:space="0"/>
              <w:left w:val="single" w:color="cccccc" w:sz="1" w:space="0"/>
              <w:bottom w:val="single" w:color="cccccc" w:sz="1" w:space="0"/>
              <w:right w:val="single" w:color="cccccc" w:sz="1" w:space="0"/>
            </w:tcBorders>
            <w:tcMar>
              <w:left w:w="100" w:type="dxa"/>
              <w:top w:w="70" w:type="dxa"/>
              <w:right w:w="80" w:type="dxa"/>
              <w:bottom w:w="70" w:type="dxa"/>
            </w:tcMar>
            <w:tcW w:w="880" w:type="dxa"/>
          </w:tcPr>
          <w:p>
            <w:pPr>
              <w:pBdr/>
              <w:spacing/>
              <w:ind/>
              <w:jc w:val="center"/>
              <w:rPr/>
            </w:pPr>
            <w:r>
              <w:rPr>
                <w:rFonts w:ascii="Arial" w:hAnsi="Arial" w:eastAsia="Arial" w:cs="Arial"/>
                <w:b/>
                <w:bCs/>
                <w:color w:val="ffffff"/>
                <w:sz w:val="17"/>
                <w:szCs w:val="17"/>
              </w:rPr>
              <w:t xml:space="preserve">Deadline</w:t>
            </w:r>
            <w:r/>
          </w:p>
        </w:tc>
        <w:tc>
          <w:tcPr>
            <w:shd w:val="clear" w:color="auto" w:fill="2e75b6"/>
            <w:tcBorders>
              <w:top w:val="single" w:color="cccccc" w:sz="1" w:space="0"/>
              <w:left w:val="single" w:color="cccccc" w:sz="1" w:space="0"/>
              <w:bottom w:val="single" w:color="cccccc" w:sz="1" w:space="0"/>
              <w:right w:val="single" w:color="cccccc" w:sz="1" w:space="0"/>
            </w:tcBorders>
            <w:tcMar>
              <w:left w:w="100" w:type="dxa"/>
              <w:top w:w="70" w:type="dxa"/>
              <w:right w:w="80" w:type="dxa"/>
              <w:bottom w:w="70" w:type="dxa"/>
            </w:tcMar>
            <w:tcW w:w="940" w:type="dxa"/>
          </w:tcPr>
          <w:p>
            <w:pPr>
              <w:pBdr/>
              <w:spacing/>
              <w:ind/>
              <w:jc w:val="center"/>
              <w:rPr/>
            </w:pPr>
            <w:r>
              <w:rPr>
                <w:rFonts w:ascii="Arial" w:hAnsi="Arial" w:eastAsia="Arial" w:cs="Arial"/>
                <w:b/>
                <w:bCs/>
                <w:color w:val="ffffff"/>
                <w:sz w:val="17"/>
                <w:szCs w:val="17"/>
              </w:rPr>
              <w:t xml:space="preserve">Status</w:t>
            </w:r>
            <w:r/>
          </w:p>
        </w:tc>
      </w:tr>
      <w:tr>
        <w:trPr/>
        <w:tc>
          <w:tcPr>
            <w:gridSpan w:val="8"/>
            <w:shd w:val="clear" w:color="auto" w:fill="d6e4f0"/>
            <w:tcBorders>
              <w:top w:val="single" w:color="cccccc" w:sz="1" w:space="0"/>
              <w:left w:val="single" w:color="cccccc" w:sz="1" w:space="0"/>
              <w:bottom w:val="single" w:color="cccccc" w:sz="1" w:space="0"/>
              <w:right w:val="single" w:color="cccccc" w:sz="1" w:space="0"/>
            </w:tcBorders>
            <w:tcMar>
              <w:left w:w="120" w:type="dxa"/>
              <w:top w:w="60" w:type="dxa"/>
              <w:right w:w="80" w:type="dxa"/>
              <w:bottom w:w="60" w:type="dxa"/>
            </w:tcMar>
            <w:tcW w:w="9360" w:type="dxa"/>
          </w:tcPr>
          <w:p>
            <w:pPr>
              <w:pBdr/>
              <w:spacing/>
              <w:ind/>
              <w:rPr/>
            </w:pPr>
            <w:r>
              <w:rPr>
                <w:rFonts w:ascii="Arial" w:hAnsi="Arial" w:eastAsia="Arial" w:cs="Arial"/>
                <w:b/>
                <w:bCs/>
                <w:color w:val="1f3864"/>
                <w:sz w:val="18"/>
                <w:szCs w:val="18"/>
              </w:rPr>
              <w:t xml:space="preserve">Strategic Objectives</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00" w:type="dxa"/>
              <w:top w:w="60" w:type="dxa"/>
              <w:right w:w="80" w:type="dxa"/>
              <w:bottom w:w="60" w:type="dxa"/>
            </w:tcMar>
            <w:tcW w:w="440" w:type="dxa"/>
          </w:tcPr>
          <w:p>
            <w:pPr>
              <w:pBdr/>
              <w:spacing/>
              <w:ind/>
              <w:rPr/>
            </w:pPr>
            <w:r>
              <w:rPr>
                <w:rFonts w:ascii="Arial" w:hAnsi="Arial" w:eastAsia="Arial" w:cs="Arial"/>
                <w:b/>
                <w:bCs/>
                <w:sz w:val="16"/>
                <w:szCs w:val="16"/>
              </w:rPr>
              <w:t xml:space="preserve">OBJ-001</w:t>
            </w:r>
            <w:r/>
          </w:p>
        </w:tc>
        <w:tc>
          <w:tcPr>
            <w:shd w:val="clear" w:color="auto" w:fill="ffffff"/>
            <w:tcBorders>
              <w:top w:val="single" w:color="cccccc" w:sz="1" w:space="0"/>
              <w:left w:val="single" w:color="cccccc" w:sz="1" w:space="0"/>
              <w:bottom w:val="single" w:color="cccccc" w:sz="1" w:space="0"/>
              <w:right w:val="single" w:color="cccccc" w:sz="1" w:space="0"/>
            </w:tcBorders>
            <w:tcMar>
              <w:left w:w="100" w:type="dxa"/>
              <w:top w:w="60" w:type="dxa"/>
              <w:right w:w="80" w:type="dxa"/>
              <w:bottom w:w="60" w:type="dxa"/>
            </w:tcMar>
            <w:tcW w:w="2700" w:type="dxa"/>
          </w:tcPr>
          <w:p>
            <w:pPr>
              <w:pBdr/>
              <w:spacing/>
              <w:ind/>
              <w:rPr/>
            </w:pPr>
            <w:r>
              <w:rPr>
                <w:rFonts w:ascii="Arial" w:hAnsi="Arial" w:eastAsia="Arial" w:cs="Arial"/>
                <w:sz w:val="16"/>
                <w:szCs w:val="16"/>
              </w:rPr>
              <w:t xml:space="preserve">Achieve ISO/IEC 27001:2022 certification</w:t>
            </w:r>
            <w:r/>
          </w:p>
        </w:tc>
        <w:tc>
          <w:tcPr>
            <w:shd w:val="clear" w:color="auto" w:fill="ffffff"/>
            <w:tcBorders>
              <w:top w:val="single" w:color="cccccc" w:sz="1" w:space="0"/>
              <w:left w:val="single" w:color="cccccc" w:sz="1" w:space="0"/>
              <w:bottom w:val="single" w:color="cccccc" w:sz="1" w:space="0"/>
              <w:right w:val="single" w:color="cccccc" w:sz="1" w:space="0"/>
            </w:tcBorders>
            <w:tcMar>
              <w:left w:w="100" w:type="dxa"/>
              <w:top w:w="60" w:type="dxa"/>
              <w:right w:w="80" w:type="dxa"/>
              <w:bottom w:w="60" w:type="dxa"/>
            </w:tcMar>
            <w:tcW w:w="900" w:type="dxa"/>
          </w:tcPr>
          <w:p>
            <w:pPr>
              <w:pBdr/>
              <w:spacing/>
              <w:ind/>
              <w:rPr/>
            </w:pPr>
            <w:r>
              <w:rPr>
                <w:rFonts w:ascii="Arial" w:hAnsi="Arial" w:eastAsia="Arial" w:cs="Arial"/>
                <w:sz w:val="16"/>
                <w:szCs w:val="16"/>
              </w:rPr>
              <w:t xml:space="preserve">Certification granted by accredited certification body</w:t>
            </w:r>
            <w:r/>
          </w:p>
        </w:tc>
        <w:tc>
          <w:tcPr>
            <w:shd w:val="clear" w:color="auto" w:fill="ffffff"/>
            <w:tcBorders>
              <w:top w:val="single" w:color="cccccc" w:sz="1" w:space="0"/>
              <w:left w:val="single" w:color="cccccc" w:sz="1" w:space="0"/>
              <w:bottom w:val="single" w:color="cccccc" w:sz="1" w:space="0"/>
              <w:right w:val="single" w:color="cccccc" w:sz="1" w:space="0"/>
            </w:tcBorders>
            <w:tcMar>
              <w:left w:w="100" w:type="dxa"/>
              <w:top w:w="60" w:type="dxa"/>
              <w:right w:w="80" w:type="dxa"/>
              <w:bottom w:w="60" w:type="dxa"/>
            </w:tcMar>
            <w:tcW w:w="1000" w:type="dxa"/>
          </w:tcPr>
          <w:p>
            <w:pPr>
              <w:pBdr/>
              <w:spacing/>
              <w:ind/>
              <w:rPr/>
            </w:pPr>
            <w:r>
              <w:rPr>
                <w:rFonts w:ascii="Arial" w:hAnsi="Arial" w:eastAsia="Arial" w:cs="Arial"/>
                <w:sz w:val="16"/>
                <w:szCs w:val="16"/>
              </w:rPr>
              <w:t xml:space="preserve">CISO</w:t>
            </w:r>
            <w:r/>
          </w:p>
        </w:tc>
        <w:tc>
          <w:tcPr>
            <w:shd w:val="clear" w:color="auto" w:fill="ffffff"/>
            <w:tcBorders>
              <w:top w:val="single" w:color="cccccc" w:sz="1" w:space="0"/>
              <w:left w:val="single" w:color="cccccc" w:sz="1" w:space="0"/>
              <w:bottom w:val="single" w:color="cccccc" w:sz="1" w:space="0"/>
              <w:right w:val="single" w:color="cccccc" w:sz="1" w:space="0"/>
            </w:tcBorders>
            <w:tcMar>
              <w:left w:w="100" w:type="dxa"/>
              <w:top w:w="60" w:type="dxa"/>
              <w:right w:w="80" w:type="dxa"/>
              <w:bottom w:w="60" w:type="dxa"/>
            </w:tcMar>
            <w:tcW w:w="1500" w:type="dxa"/>
          </w:tcPr>
          <w:p>
            <w:pPr>
              <w:pBdr/>
              <w:spacing/>
              <w:ind/>
              <w:rPr/>
            </w:pPr>
            <w:r>
              <w:rPr>
                <w:rFonts w:ascii="Arial" w:hAnsi="Arial" w:eastAsia="Arial" w:cs="Arial"/>
                <w:sz w:val="16"/>
                <w:szCs w:val="16"/>
              </w:rPr>
              <w:t xml:space="preserve">Certification body decision letter</w:t>
            </w:r>
            <w:r/>
          </w:p>
        </w:tc>
        <w:tc>
          <w:tcPr>
            <w:shd w:val="clear" w:color="auto" w:fill="ffffff"/>
            <w:tcBorders>
              <w:top w:val="single" w:color="cccccc" w:sz="1" w:space="0"/>
              <w:left w:val="single" w:color="cccccc" w:sz="1" w:space="0"/>
              <w:bottom w:val="single" w:color="cccccc" w:sz="1" w:space="0"/>
              <w:right w:val="single" w:color="cccccc" w:sz="1" w:space="0"/>
            </w:tcBorders>
            <w:tcMar>
              <w:left w:w="100" w:type="dxa"/>
              <w:top w:w="60" w:type="dxa"/>
              <w:right w:w="80" w:type="dxa"/>
              <w:bottom w:w="60" w:type="dxa"/>
            </w:tcMar>
            <w:tcW w:w="1000" w:type="dxa"/>
          </w:tcPr>
          <w:p>
            <w:pPr>
              <w:pBdr/>
              <w:spacing/>
              <w:ind/>
              <w:rPr/>
            </w:pPr>
            <w:r>
              <w:rPr>
                <w:rFonts w:ascii="Arial" w:hAnsi="Arial" w:eastAsia="Arial" w:cs="Arial"/>
                <w:sz w:val="16"/>
                <w:szCs w:val="16"/>
              </w:rPr>
              <w:t xml:space="preserve">CISO time, certification body fees (~$8,000–15,000), consultant support if required</w:t>
            </w:r>
            <w:r/>
          </w:p>
        </w:tc>
        <w:tc>
          <w:tcPr>
            <w:shd w:val="clear" w:color="auto" w:fill="ffffff"/>
            <w:tcBorders>
              <w:top w:val="single" w:color="cccccc" w:sz="1" w:space="0"/>
              <w:left w:val="single" w:color="cccccc" w:sz="1" w:space="0"/>
              <w:bottom w:val="single" w:color="cccccc" w:sz="1" w:space="0"/>
              <w:right w:val="single" w:color="cccccc" w:sz="1" w:space="0"/>
            </w:tcBorders>
            <w:tcMar>
              <w:left w:w="100" w:type="dxa"/>
              <w:top w:w="60" w:type="dxa"/>
              <w:right w:w="80" w:type="dxa"/>
              <w:bottom w:w="60" w:type="dxa"/>
            </w:tcMar>
            <w:tcW w:w="880" w:type="dxa"/>
          </w:tcPr>
          <w:p>
            <w:pPr>
              <w:pBdr/>
              <w:spacing/>
              <w:ind/>
              <w:rPr/>
            </w:pPr>
            <w:r>
              <w:rPr>
                <w:rFonts w:ascii="Arial" w:hAnsi="Arial" w:eastAsia="Arial" w:cs="Arial"/>
                <w:sz w:val="16"/>
                <w:szCs w:val="16"/>
              </w:rPr>
              <w:t xml:space="preserve">Q4 2026</w:t>
            </w:r>
            <w:r/>
          </w:p>
        </w:tc>
        <w:tc>
          <w:tcPr>
            <w:shd w:val="clear" w:color="auto" w:fill="fff3cd"/>
            <w:tcBorders>
              <w:top w:val="single" w:color="cccccc" w:sz="1" w:space="0"/>
              <w:left w:val="single" w:color="cccccc" w:sz="1" w:space="0"/>
              <w:bottom w:val="single" w:color="cccccc" w:sz="1" w:space="0"/>
              <w:right w:val="single" w:color="cccccc" w:sz="1" w:space="0"/>
            </w:tcBorders>
            <w:tcMar>
              <w:left w:w="60" w:type="dxa"/>
              <w:top w:w="60" w:type="dxa"/>
              <w:right w:w="60" w:type="dxa"/>
              <w:bottom w:w="60" w:type="dxa"/>
            </w:tcMar>
            <w:tcW w:w="940" w:type="dxa"/>
          </w:tcPr>
          <w:p>
            <w:pPr>
              <w:pBdr/>
              <w:spacing/>
              <w:ind/>
              <w:jc w:val="center"/>
              <w:rPr/>
            </w:pPr>
            <w:r>
              <w:rPr>
                <w:rFonts w:ascii="Arial" w:hAnsi="Arial" w:eastAsia="Arial" w:cs="Arial"/>
                <w:b/>
                <w:bCs/>
                <w:color w:val="856404"/>
                <w:sz w:val="17"/>
                <w:szCs w:val="17"/>
              </w:rPr>
              <w:t xml:space="preserve">In Progress</w:t>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00" w:type="dxa"/>
              <w:top w:w="60" w:type="dxa"/>
              <w:right w:w="80" w:type="dxa"/>
              <w:bottom w:w="60" w:type="dxa"/>
            </w:tcMar>
            <w:tcW w:w="440" w:type="dxa"/>
          </w:tcPr>
          <w:p>
            <w:pPr>
              <w:pBdr/>
              <w:spacing/>
              <w:ind/>
              <w:rPr/>
            </w:pPr>
            <w:r>
              <w:rPr>
                <w:rFonts w:ascii="Arial" w:hAnsi="Arial" w:eastAsia="Arial" w:cs="Arial"/>
                <w:b/>
                <w:bCs/>
                <w:sz w:val="16"/>
                <w:szCs w:val="16"/>
              </w:rPr>
              <w:t xml:space="preserve">OBJ-002</w:t>
            </w:r>
            <w:r/>
          </w:p>
        </w:tc>
        <w:tc>
          <w:tcPr>
            <w:shd w:val="clear" w:color="auto" w:fill="f2f2f2"/>
            <w:tcBorders>
              <w:top w:val="single" w:color="cccccc" w:sz="1" w:space="0"/>
              <w:left w:val="single" w:color="cccccc" w:sz="1" w:space="0"/>
              <w:bottom w:val="single" w:color="cccccc" w:sz="1" w:space="0"/>
              <w:right w:val="single" w:color="cccccc" w:sz="1" w:space="0"/>
            </w:tcBorders>
            <w:tcMar>
              <w:left w:w="100" w:type="dxa"/>
              <w:top w:w="60" w:type="dxa"/>
              <w:right w:w="80" w:type="dxa"/>
              <w:bottom w:w="60" w:type="dxa"/>
            </w:tcMar>
            <w:tcW w:w="2700" w:type="dxa"/>
          </w:tcPr>
          <w:p>
            <w:pPr>
              <w:pBdr/>
              <w:spacing/>
              <w:ind/>
              <w:rPr/>
            </w:pPr>
            <w:r>
              <w:rPr>
                <w:rFonts w:ascii="Arial" w:hAnsi="Arial" w:eastAsia="Arial" w:cs="Arial"/>
                <w:sz w:val="16"/>
                <w:szCs w:val="16"/>
              </w:rPr>
              <w:t xml:space="preserve">Establish fully operational ISMS covering all mandatory Clause 4–10 requirements</w:t>
            </w:r>
            <w:r/>
          </w:p>
        </w:tc>
        <w:tc>
          <w:tcPr>
            <w:shd w:val="clear" w:color="auto" w:fill="f2f2f2"/>
            <w:tcBorders>
              <w:top w:val="single" w:color="cccccc" w:sz="1" w:space="0"/>
              <w:left w:val="single" w:color="cccccc" w:sz="1" w:space="0"/>
              <w:bottom w:val="single" w:color="cccccc" w:sz="1" w:space="0"/>
              <w:right w:val="single" w:color="cccccc" w:sz="1" w:space="0"/>
            </w:tcBorders>
            <w:tcMar>
              <w:left w:w="100" w:type="dxa"/>
              <w:top w:w="60" w:type="dxa"/>
              <w:right w:w="80" w:type="dxa"/>
              <w:bottom w:w="60" w:type="dxa"/>
            </w:tcMar>
            <w:tcW w:w="900" w:type="dxa"/>
          </w:tcPr>
          <w:p>
            <w:pPr>
              <w:pBdr/>
              <w:spacing/>
              <w:ind/>
              <w:rPr/>
            </w:pPr>
            <w:r>
              <w:rPr>
                <w:rFonts w:ascii="Arial" w:hAnsi="Arial" w:eastAsia="Arial" w:cs="Arial"/>
                <w:sz w:val="16"/>
                <w:szCs w:val="16"/>
              </w:rPr>
              <w:t xml:space="preserve">All 14 mandatory documents completed and implemented</w:t>
            </w:r>
            <w:r/>
          </w:p>
        </w:tc>
        <w:tc>
          <w:tcPr>
            <w:shd w:val="clear" w:color="auto" w:fill="f2f2f2"/>
            <w:tcBorders>
              <w:top w:val="single" w:color="cccccc" w:sz="1" w:space="0"/>
              <w:left w:val="single" w:color="cccccc" w:sz="1" w:space="0"/>
              <w:bottom w:val="single" w:color="cccccc" w:sz="1" w:space="0"/>
              <w:right w:val="single" w:color="cccccc" w:sz="1" w:space="0"/>
            </w:tcBorders>
            <w:tcMar>
              <w:left w:w="100" w:type="dxa"/>
              <w:top w:w="60" w:type="dxa"/>
              <w:right w:w="80" w:type="dxa"/>
              <w:bottom w:w="60" w:type="dxa"/>
            </w:tcMar>
            <w:tcW w:w="1000" w:type="dxa"/>
          </w:tcPr>
          <w:p>
            <w:pPr>
              <w:pBdr/>
              <w:spacing/>
              <w:ind/>
              <w:rPr/>
            </w:pPr>
            <w:r>
              <w:rPr>
                <w:rFonts w:ascii="Arial" w:hAnsi="Arial" w:eastAsia="Arial" w:cs="Arial"/>
                <w:sz w:val="16"/>
                <w:szCs w:val="16"/>
              </w:rPr>
              <w:t xml:space="preserve">IS Manager</w:t>
            </w:r>
            <w:r/>
          </w:p>
        </w:tc>
        <w:tc>
          <w:tcPr>
            <w:shd w:val="clear" w:color="auto" w:fill="f2f2f2"/>
            <w:tcBorders>
              <w:top w:val="single" w:color="cccccc" w:sz="1" w:space="0"/>
              <w:left w:val="single" w:color="cccccc" w:sz="1" w:space="0"/>
              <w:bottom w:val="single" w:color="cccccc" w:sz="1" w:space="0"/>
              <w:right w:val="single" w:color="cccccc" w:sz="1" w:space="0"/>
            </w:tcBorders>
            <w:tcMar>
              <w:left w:w="100" w:type="dxa"/>
              <w:top w:w="60" w:type="dxa"/>
              <w:right w:w="80" w:type="dxa"/>
              <w:bottom w:w="60" w:type="dxa"/>
            </w:tcMar>
            <w:tcW w:w="1500" w:type="dxa"/>
          </w:tcPr>
          <w:p>
            <w:pPr>
              <w:pBdr/>
              <w:spacing/>
              <w:ind/>
              <w:rPr/>
            </w:pPr>
            <w:r>
              <w:rPr>
                <w:rFonts w:ascii="Arial" w:hAnsi="Arial" w:eastAsia="Arial" w:cs="Arial"/>
                <w:sz w:val="16"/>
                <w:szCs w:val="16"/>
              </w:rPr>
              <w:t xml:space="preserve">Internal audit Clause compliance checklist — 0 major NCs</w:t>
            </w:r>
            <w:r/>
          </w:p>
        </w:tc>
        <w:tc>
          <w:tcPr>
            <w:shd w:val="clear" w:color="auto" w:fill="f2f2f2"/>
            <w:tcBorders>
              <w:top w:val="single" w:color="cccccc" w:sz="1" w:space="0"/>
              <w:left w:val="single" w:color="cccccc" w:sz="1" w:space="0"/>
              <w:bottom w:val="single" w:color="cccccc" w:sz="1" w:space="0"/>
              <w:right w:val="single" w:color="cccccc" w:sz="1" w:space="0"/>
            </w:tcBorders>
            <w:tcMar>
              <w:left w:w="100" w:type="dxa"/>
              <w:top w:w="60" w:type="dxa"/>
              <w:right w:w="80" w:type="dxa"/>
              <w:bottom w:w="60" w:type="dxa"/>
            </w:tcMar>
            <w:tcW w:w="1000" w:type="dxa"/>
          </w:tcPr>
          <w:p>
            <w:pPr>
              <w:pBdr/>
              <w:spacing/>
              <w:ind/>
              <w:rPr/>
            </w:pPr>
            <w:r>
              <w:rPr>
                <w:rFonts w:ascii="Arial" w:hAnsi="Arial" w:eastAsia="Arial" w:cs="Arial"/>
                <w:sz w:val="16"/>
                <w:szCs w:val="16"/>
              </w:rPr>
              <w:t xml:space="preserve">IS Manager time (est. 40% for 6 months)</w:t>
            </w:r>
            <w:r/>
          </w:p>
        </w:tc>
        <w:tc>
          <w:tcPr>
            <w:shd w:val="clear" w:color="auto" w:fill="f2f2f2"/>
            <w:tcBorders>
              <w:top w:val="single" w:color="cccccc" w:sz="1" w:space="0"/>
              <w:left w:val="single" w:color="cccccc" w:sz="1" w:space="0"/>
              <w:bottom w:val="single" w:color="cccccc" w:sz="1" w:space="0"/>
              <w:right w:val="single" w:color="cccccc" w:sz="1" w:space="0"/>
            </w:tcBorders>
            <w:tcMar>
              <w:left w:w="100" w:type="dxa"/>
              <w:top w:w="60" w:type="dxa"/>
              <w:right w:w="80" w:type="dxa"/>
              <w:bottom w:w="60" w:type="dxa"/>
            </w:tcMar>
            <w:tcW w:w="880" w:type="dxa"/>
          </w:tcPr>
          <w:p>
            <w:pPr>
              <w:pBdr/>
              <w:spacing/>
              <w:ind/>
              <w:rPr/>
            </w:pPr>
            <w:r>
              <w:rPr>
                <w:rFonts w:ascii="Arial" w:hAnsi="Arial" w:eastAsia="Arial" w:cs="Arial"/>
                <w:sz w:val="16"/>
                <w:szCs w:val="16"/>
              </w:rPr>
              <w:t xml:space="preserve">Aug 2026</w:t>
            </w:r>
            <w:r/>
          </w:p>
        </w:tc>
        <w:tc>
          <w:tcPr>
            <w:shd w:val="clear" w:color="auto" w:fill="fff3cd"/>
            <w:tcBorders>
              <w:top w:val="single" w:color="cccccc" w:sz="1" w:space="0"/>
              <w:left w:val="single" w:color="cccccc" w:sz="1" w:space="0"/>
              <w:bottom w:val="single" w:color="cccccc" w:sz="1" w:space="0"/>
              <w:right w:val="single" w:color="cccccc" w:sz="1" w:space="0"/>
            </w:tcBorders>
            <w:tcMar>
              <w:left w:w="60" w:type="dxa"/>
              <w:top w:w="60" w:type="dxa"/>
              <w:right w:w="60" w:type="dxa"/>
              <w:bottom w:w="60" w:type="dxa"/>
            </w:tcMar>
            <w:tcW w:w="940" w:type="dxa"/>
          </w:tcPr>
          <w:p>
            <w:pPr>
              <w:pBdr/>
              <w:spacing/>
              <w:ind/>
              <w:jc w:val="center"/>
              <w:rPr/>
            </w:pPr>
            <w:r>
              <w:rPr>
                <w:rFonts w:ascii="Arial" w:hAnsi="Arial" w:eastAsia="Arial" w:cs="Arial"/>
                <w:b/>
                <w:bCs/>
                <w:color w:val="856404"/>
                <w:sz w:val="17"/>
                <w:szCs w:val="17"/>
              </w:rPr>
              <w:t xml:space="preserve">In Progress</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00" w:type="dxa"/>
              <w:top w:w="60" w:type="dxa"/>
              <w:right w:w="80" w:type="dxa"/>
              <w:bottom w:w="60" w:type="dxa"/>
            </w:tcMar>
            <w:tcW w:w="440" w:type="dxa"/>
          </w:tcPr>
          <w:p>
            <w:pPr>
              <w:pBdr/>
              <w:spacing/>
              <w:ind/>
              <w:rPr/>
            </w:pPr>
            <w:r>
              <w:rPr>
                <w:rFonts w:ascii="Arial" w:hAnsi="Arial" w:eastAsia="Arial" w:cs="Arial"/>
                <w:b/>
                <w:bCs/>
                <w:sz w:val="16"/>
                <w:szCs w:val="16"/>
              </w:rPr>
              <w:t xml:space="preserve">OBJ-003</w:t>
            </w:r>
            <w:r/>
          </w:p>
        </w:tc>
        <w:tc>
          <w:tcPr>
            <w:shd w:val="clear" w:color="auto" w:fill="ffffff"/>
            <w:tcBorders>
              <w:top w:val="single" w:color="cccccc" w:sz="1" w:space="0"/>
              <w:left w:val="single" w:color="cccccc" w:sz="1" w:space="0"/>
              <w:bottom w:val="single" w:color="cccccc" w:sz="1" w:space="0"/>
              <w:right w:val="single" w:color="cccccc" w:sz="1" w:space="0"/>
            </w:tcBorders>
            <w:tcMar>
              <w:left w:w="100" w:type="dxa"/>
              <w:top w:w="60" w:type="dxa"/>
              <w:right w:w="80" w:type="dxa"/>
              <w:bottom w:w="60" w:type="dxa"/>
            </w:tcMar>
            <w:tcW w:w="2700" w:type="dxa"/>
          </w:tcPr>
          <w:p>
            <w:pPr>
              <w:pBdr/>
              <w:spacing/>
              <w:ind/>
              <w:rPr/>
            </w:pPr>
            <w:r>
              <w:rPr>
                <w:rFonts w:ascii="Arial" w:hAnsi="Arial" w:eastAsia="Arial" w:cs="Arial"/>
                <w:sz w:val="16"/>
                <w:szCs w:val="16"/>
              </w:rPr>
              <w:t xml:space="preserve">Implement all 'Planned' Annex A controls from SoA (ISMS-SOA-001)</w:t>
            </w:r>
            <w:r/>
          </w:p>
        </w:tc>
        <w:tc>
          <w:tcPr>
            <w:shd w:val="clear" w:color="auto" w:fill="ffffff"/>
            <w:tcBorders>
              <w:top w:val="single" w:color="cccccc" w:sz="1" w:space="0"/>
              <w:left w:val="single" w:color="cccccc" w:sz="1" w:space="0"/>
              <w:bottom w:val="single" w:color="cccccc" w:sz="1" w:space="0"/>
              <w:right w:val="single" w:color="cccccc" w:sz="1" w:space="0"/>
            </w:tcBorders>
            <w:tcMar>
              <w:left w:w="100" w:type="dxa"/>
              <w:top w:w="60" w:type="dxa"/>
              <w:right w:w="80" w:type="dxa"/>
              <w:bottom w:w="60" w:type="dxa"/>
            </w:tcMar>
            <w:tcW w:w="900" w:type="dxa"/>
          </w:tcPr>
          <w:p>
            <w:pPr>
              <w:pBdr/>
              <w:spacing/>
              <w:ind/>
              <w:rPr/>
            </w:pPr>
            <w:r>
              <w:rPr>
                <w:rFonts w:ascii="Arial" w:hAnsi="Arial" w:eastAsia="Arial" w:cs="Arial"/>
                <w:sz w:val="16"/>
                <w:szCs w:val="16"/>
              </w:rPr>
              <w:t xml:space="preserve">33 Planned controls moved to Implemented or Partial</w:t>
            </w:r>
            <w:r/>
          </w:p>
        </w:tc>
        <w:tc>
          <w:tcPr>
            <w:shd w:val="clear" w:color="auto" w:fill="ffffff"/>
            <w:tcBorders>
              <w:top w:val="single" w:color="cccccc" w:sz="1" w:space="0"/>
              <w:left w:val="single" w:color="cccccc" w:sz="1" w:space="0"/>
              <w:bottom w:val="single" w:color="cccccc" w:sz="1" w:space="0"/>
              <w:right w:val="single" w:color="cccccc" w:sz="1" w:space="0"/>
            </w:tcBorders>
            <w:tcMar>
              <w:left w:w="100" w:type="dxa"/>
              <w:top w:w="60" w:type="dxa"/>
              <w:right w:w="80" w:type="dxa"/>
              <w:bottom w:w="60" w:type="dxa"/>
            </w:tcMar>
            <w:tcW w:w="1000" w:type="dxa"/>
          </w:tcPr>
          <w:p>
            <w:pPr>
              <w:pBdr/>
              <w:spacing/>
              <w:ind/>
              <w:rPr/>
            </w:pPr>
            <w:r>
              <w:rPr>
                <w:rFonts w:ascii="Arial" w:hAnsi="Arial" w:eastAsia="Arial" w:cs="Arial"/>
                <w:sz w:val="16"/>
                <w:szCs w:val="16"/>
              </w:rPr>
              <w:t xml:space="preserve">CISO / IT Manager</w:t>
            </w:r>
            <w:r/>
          </w:p>
        </w:tc>
        <w:tc>
          <w:tcPr>
            <w:shd w:val="clear" w:color="auto" w:fill="ffffff"/>
            <w:tcBorders>
              <w:top w:val="single" w:color="cccccc" w:sz="1" w:space="0"/>
              <w:left w:val="single" w:color="cccccc" w:sz="1" w:space="0"/>
              <w:bottom w:val="single" w:color="cccccc" w:sz="1" w:space="0"/>
              <w:right w:val="single" w:color="cccccc" w:sz="1" w:space="0"/>
            </w:tcBorders>
            <w:tcMar>
              <w:left w:w="100" w:type="dxa"/>
              <w:top w:w="60" w:type="dxa"/>
              <w:right w:w="80" w:type="dxa"/>
              <w:bottom w:w="60" w:type="dxa"/>
            </w:tcMar>
            <w:tcW w:w="1500" w:type="dxa"/>
          </w:tcPr>
          <w:p>
            <w:pPr>
              <w:pBdr/>
              <w:spacing/>
              <w:ind/>
              <w:rPr/>
            </w:pPr>
            <w:r>
              <w:rPr>
                <w:rFonts w:ascii="Arial" w:hAnsi="Arial" w:eastAsia="Arial" w:cs="Arial"/>
                <w:sz w:val="16"/>
                <w:szCs w:val="16"/>
              </w:rPr>
              <w:t xml:space="preserve">SoA implementation status review — quarterly</w:t>
            </w:r>
            <w:r/>
          </w:p>
        </w:tc>
        <w:tc>
          <w:tcPr>
            <w:shd w:val="clear" w:color="auto" w:fill="ffffff"/>
            <w:tcBorders>
              <w:top w:val="single" w:color="cccccc" w:sz="1" w:space="0"/>
              <w:left w:val="single" w:color="cccccc" w:sz="1" w:space="0"/>
              <w:bottom w:val="single" w:color="cccccc" w:sz="1" w:space="0"/>
              <w:right w:val="single" w:color="cccccc" w:sz="1" w:space="0"/>
            </w:tcBorders>
            <w:tcMar>
              <w:left w:w="100" w:type="dxa"/>
              <w:top w:w="60" w:type="dxa"/>
              <w:right w:w="80" w:type="dxa"/>
              <w:bottom w:w="60" w:type="dxa"/>
            </w:tcMar>
            <w:tcW w:w="1000" w:type="dxa"/>
          </w:tcPr>
          <w:p>
            <w:pPr>
              <w:pBdr/>
              <w:spacing/>
              <w:ind/>
              <w:rPr/>
            </w:pPr>
            <w:r>
              <w:rPr>
                <w:rFonts w:ascii="Arial" w:hAnsi="Arial" w:eastAsia="Arial" w:cs="Arial"/>
                <w:sz w:val="16"/>
                <w:szCs w:val="16"/>
              </w:rPr>
              <w:t xml:space="preserve">IT Manager time, tooling budget (~$5,000–20,000 depending on tools)</w:t>
            </w:r>
            <w:r/>
          </w:p>
        </w:tc>
        <w:tc>
          <w:tcPr>
            <w:shd w:val="clear" w:color="auto" w:fill="ffffff"/>
            <w:tcBorders>
              <w:top w:val="single" w:color="cccccc" w:sz="1" w:space="0"/>
              <w:left w:val="single" w:color="cccccc" w:sz="1" w:space="0"/>
              <w:bottom w:val="single" w:color="cccccc" w:sz="1" w:space="0"/>
              <w:right w:val="single" w:color="cccccc" w:sz="1" w:space="0"/>
            </w:tcBorders>
            <w:tcMar>
              <w:left w:w="100" w:type="dxa"/>
              <w:top w:w="60" w:type="dxa"/>
              <w:right w:w="80" w:type="dxa"/>
              <w:bottom w:w="60" w:type="dxa"/>
            </w:tcMar>
            <w:tcW w:w="880" w:type="dxa"/>
          </w:tcPr>
          <w:p>
            <w:pPr>
              <w:pBdr/>
              <w:spacing/>
              <w:ind/>
              <w:rPr/>
            </w:pPr>
            <w:r>
              <w:rPr>
                <w:rFonts w:ascii="Arial" w:hAnsi="Arial" w:eastAsia="Arial" w:cs="Arial"/>
                <w:sz w:val="16"/>
                <w:szCs w:val="16"/>
              </w:rPr>
              <w:t xml:space="preserve">Dec 2026</w:t>
            </w:r>
            <w:r/>
          </w:p>
        </w:tc>
        <w:tc>
          <w:tcPr>
            <w:shd w:val="clear" w:color="auto" w:fill="fff3cd"/>
            <w:tcBorders>
              <w:top w:val="single" w:color="cccccc" w:sz="1" w:space="0"/>
              <w:left w:val="single" w:color="cccccc" w:sz="1" w:space="0"/>
              <w:bottom w:val="single" w:color="cccccc" w:sz="1" w:space="0"/>
              <w:right w:val="single" w:color="cccccc" w:sz="1" w:space="0"/>
            </w:tcBorders>
            <w:tcMar>
              <w:left w:w="60" w:type="dxa"/>
              <w:top w:w="60" w:type="dxa"/>
              <w:right w:w="60" w:type="dxa"/>
              <w:bottom w:w="60" w:type="dxa"/>
            </w:tcMar>
            <w:tcW w:w="940" w:type="dxa"/>
          </w:tcPr>
          <w:p>
            <w:pPr>
              <w:pBdr/>
              <w:spacing/>
              <w:ind/>
              <w:jc w:val="center"/>
              <w:rPr/>
            </w:pPr>
            <w:r>
              <w:rPr>
                <w:rFonts w:ascii="Arial" w:hAnsi="Arial" w:eastAsia="Arial" w:cs="Arial"/>
                <w:b/>
                <w:bCs/>
                <w:color w:val="856404"/>
                <w:sz w:val="17"/>
                <w:szCs w:val="17"/>
              </w:rPr>
              <w:t xml:space="preserve">In Progress</w:t>
            </w:r>
            <w:r/>
          </w:p>
        </w:tc>
      </w:tr>
      <w:tr>
        <w:trPr/>
        <w:tc>
          <w:tcPr>
            <w:gridSpan w:val="8"/>
            <w:shd w:val="clear" w:color="auto" w:fill="d6e4f0"/>
            <w:tcBorders>
              <w:top w:val="single" w:color="cccccc" w:sz="1" w:space="0"/>
              <w:left w:val="single" w:color="cccccc" w:sz="1" w:space="0"/>
              <w:bottom w:val="single" w:color="cccccc" w:sz="1" w:space="0"/>
              <w:right w:val="single" w:color="cccccc" w:sz="1" w:space="0"/>
            </w:tcBorders>
            <w:tcMar>
              <w:left w:w="120" w:type="dxa"/>
              <w:top w:w="60" w:type="dxa"/>
              <w:right w:w="80" w:type="dxa"/>
              <w:bottom w:w="60" w:type="dxa"/>
            </w:tcMar>
            <w:tcW w:w="9360" w:type="dxa"/>
          </w:tcPr>
          <w:p>
            <w:pPr>
              <w:pBdr/>
              <w:spacing/>
              <w:ind/>
              <w:rPr/>
            </w:pPr>
            <w:r>
              <w:rPr>
                <w:rFonts w:ascii="Arial" w:hAnsi="Arial" w:eastAsia="Arial" w:cs="Arial"/>
                <w:b/>
                <w:bCs/>
                <w:color w:val="1f3864"/>
                <w:sz w:val="18"/>
                <w:szCs w:val="18"/>
              </w:rPr>
              <w:t xml:space="preserve">Risk Management Objectives</w:t>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00" w:type="dxa"/>
              <w:top w:w="60" w:type="dxa"/>
              <w:right w:w="80" w:type="dxa"/>
              <w:bottom w:w="60" w:type="dxa"/>
            </w:tcMar>
            <w:tcW w:w="440" w:type="dxa"/>
          </w:tcPr>
          <w:p>
            <w:pPr>
              <w:pBdr/>
              <w:spacing/>
              <w:ind/>
              <w:rPr/>
            </w:pPr>
            <w:r>
              <w:rPr>
                <w:rFonts w:ascii="Arial" w:hAnsi="Arial" w:eastAsia="Arial" w:cs="Arial"/>
                <w:b/>
                <w:bCs/>
                <w:sz w:val="16"/>
                <w:szCs w:val="16"/>
              </w:rPr>
              <w:t xml:space="preserve">OBJ-004</w:t>
            </w:r>
            <w:r/>
          </w:p>
        </w:tc>
        <w:tc>
          <w:tcPr>
            <w:shd w:val="clear" w:color="auto" w:fill="f2f2f2"/>
            <w:tcBorders>
              <w:top w:val="single" w:color="cccccc" w:sz="1" w:space="0"/>
              <w:left w:val="single" w:color="cccccc" w:sz="1" w:space="0"/>
              <w:bottom w:val="single" w:color="cccccc" w:sz="1" w:space="0"/>
              <w:right w:val="single" w:color="cccccc" w:sz="1" w:space="0"/>
            </w:tcBorders>
            <w:tcMar>
              <w:left w:w="100" w:type="dxa"/>
              <w:top w:w="60" w:type="dxa"/>
              <w:right w:w="80" w:type="dxa"/>
              <w:bottom w:w="60" w:type="dxa"/>
            </w:tcMar>
            <w:tcW w:w="2700" w:type="dxa"/>
          </w:tcPr>
          <w:p>
            <w:pPr>
              <w:pBdr/>
              <w:spacing/>
              <w:ind/>
              <w:rPr/>
            </w:pPr>
            <w:r>
              <w:rPr>
                <w:rFonts w:ascii="Arial" w:hAnsi="Arial" w:eastAsia="Arial" w:cs="Arial"/>
                <w:sz w:val="16"/>
                <w:szCs w:val="16"/>
              </w:rPr>
              <w:t xml:space="preserve">Reduce information security incidents by 30% vs. baseline within 12 months</w:t>
            </w:r>
            <w:r/>
          </w:p>
        </w:tc>
        <w:tc>
          <w:tcPr>
            <w:shd w:val="clear" w:color="auto" w:fill="f2f2f2"/>
            <w:tcBorders>
              <w:top w:val="single" w:color="cccccc" w:sz="1" w:space="0"/>
              <w:left w:val="single" w:color="cccccc" w:sz="1" w:space="0"/>
              <w:bottom w:val="single" w:color="cccccc" w:sz="1" w:space="0"/>
              <w:right w:val="single" w:color="cccccc" w:sz="1" w:space="0"/>
            </w:tcBorders>
            <w:tcMar>
              <w:left w:w="100" w:type="dxa"/>
              <w:top w:w="60" w:type="dxa"/>
              <w:right w:w="80" w:type="dxa"/>
              <w:bottom w:w="60" w:type="dxa"/>
            </w:tcMar>
            <w:tcW w:w="900" w:type="dxa"/>
          </w:tcPr>
          <w:p>
            <w:pPr>
              <w:pBdr/>
              <w:spacing/>
              <w:ind/>
              <w:rPr/>
            </w:pPr>
            <w:r>
              <w:rPr>
                <w:rFonts w:ascii="Arial" w:hAnsi="Arial" w:eastAsia="Arial" w:cs="Arial"/>
                <w:sz w:val="16"/>
                <w:szCs w:val="16"/>
              </w:rPr>
              <w:t xml:space="preserve">≤70% of baseline incident count</w:t>
            </w:r>
            <w:r/>
          </w:p>
        </w:tc>
        <w:tc>
          <w:tcPr>
            <w:shd w:val="clear" w:color="auto" w:fill="f2f2f2"/>
            <w:tcBorders>
              <w:top w:val="single" w:color="cccccc" w:sz="1" w:space="0"/>
              <w:left w:val="single" w:color="cccccc" w:sz="1" w:space="0"/>
              <w:bottom w:val="single" w:color="cccccc" w:sz="1" w:space="0"/>
              <w:right w:val="single" w:color="cccccc" w:sz="1" w:space="0"/>
            </w:tcBorders>
            <w:tcMar>
              <w:left w:w="100" w:type="dxa"/>
              <w:top w:w="60" w:type="dxa"/>
              <w:right w:w="80" w:type="dxa"/>
              <w:bottom w:w="60" w:type="dxa"/>
            </w:tcMar>
            <w:tcW w:w="1000" w:type="dxa"/>
          </w:tcPr>
          <w:p>
            <w:pPr>
              <w:pBdr/>
              <w:spacing/>
              <w:ind/>
              <w:rPr/>
            </w:pPr>
            <w:r>
              <w:rPr>
                <w:rFonts w:ascii="Arial" w:hAnsi="Arial" w:eastAsia="Arial" w:cs="Arial"/>
                <w:sz w:val="16"/>
                <w:szCs w:val="16"/>
              </w:rPr>
              <w:t xml:space="preserve">CISO</w:t>
            </w:r>
            <w:r/>
          </w:p>
        </w:tc>
        <w:tc>
          <w:tcPr>
            <w:shd w:val="clear" w:color="auto" w:fill="f2f2f2"/>
            <w:tcBorders>
              <w:top w:val="single" w:color="cccccc" w:sz="1" w:space="0"/>
              <w:left w:val="single" w:color="cccccc" w:sz="1" w:space="0"/>
              <w:bottom w:val="single" w:color="cccccc" w:sz="1" w:space="0"/>
              <w:right w:val="single" w:color="cccccc" w:sz="1" w:space="0"/>
            </w:tcBorders>
            <w:tcMar>
              <w:left w:w="100" w:type="dxa"/>
              <w:top w:w="60" w:type="dxa"/>
              <w:right w:w="80" w:type="dxa"/>
              <w:bottom w:w="60" w:type="dxa"/>
            </w:tcMar>
            <w:tcW w:w="1500" w:type="dxa"/>
          </w:tcPr>
          <w:p>
            <w:pPr>
              <w:pBdr/>
              <w:spacing/>
              <w:ind/>
              <w:rPr/>
            </w:pPr>
            <w:r>
              <w:rPr>
                <w:rFonts w:ascii="Arial" w:hAnsi="Arial" w:eastAsia="Arial" w:cs="Arial"/>
                <w:sz w:val="16"/>
                <w:szCs w:val="16"/>
              </w:rPr>
              <w:t xml:space="preserve">Monthly incident register — count and severity tracking</w:t>
            </w:r>
            <w:r/>
          </w:p>
        </w:tc>
        <w:tc>
          <w:tcPr>
            <w:shd w:val="clear" w:color="auto" w:fill="f2f2f2"/>
            <w:tcBorders>
              <w:top w:val="single" w:color="cccccc" w:sz="1" w:space="0"/>
              <w:left w:val="single" w:color="cccccc" w:sz="1" w:space="0"/>
              <w:bottom w:val="single" w:color="cccccc" w:sz="1" w:space="0"/>
              <w:right w:val="single" w:color="cccccc" w:sz="1" w:space="0"/>
            </w:tcBorders>
            <w:tcMar>
              <w:left w:w="100" w:type="dxa"/>
              <w:top w:w="60" w:type="dxa"/>
              <w:right w:w="80" w:type="dxa"/>
              <w:bottom w:w="60" w:type="dxa"/>
            </w:tcMar>
            <w:tcW w:w="1000" w:type="dxa"/>
          </w:tcPr>
          <w:p>
            <w:pPr>
              <w:pBdr/>
              <w:spacing/>
              <w:ind/>
              <w:rPr/>
            </w:pPr>
            <w:r>
              <w:rPr>
                <w:rFonts w:ascii="Arial" w:hAnsi="Arial" w:eastAsia="Arial" w:cs="Arial"/>
                <w:sz w:val="16"/>
                <w:szCs w:val="16"/>
              </w:rPr>
              <w:t xml:space="preserve">IS Manager time, incident tracking tool</w:t>
            </w:r>
            <w:r/>
          </w:p>
        </w:tc>
        <w:tc>
          <w:tcPr>
            <w:shd w:val="clear" w:color="auto" w:fill="f2f2f2"/>
            <w:tcBorders>
              <w:top w:val="single" w:color="cccccc" w:sz="1" w:space="0"/>
              <w:left w:val="single" w:color="cccccc" w:sz="1" w:space="0"/>
              <w:bottom w:val="single" w:color="cccccc" w:sz="1" w:space="0"/>
              <w:right w:val="single" w:color="cccccc" w:sz="1" w:space="0"/>
            </w:tcBorders>
            <w:tcMar>
              <w:left w:w="100" w:type="dxa"/>
              <w:top w:w="60" w:type="dxa"/>
              <w:right w:w="80" w:type="dxa"/>
              <w:bottom w:w="60" w:type="dxa"/>
            </w:tcMar>
            <w:tcW w:w="880" w:type="dxa"/>
          </w:tcPr>
          <w:p>
            <w:pPr>
              <w:pBdr/>
              <w:spacing/>
              <w:ind/>
              <w:rPr/>
            </w:pPr>
            <w:r>
              <w:rPr>
                <w:rFonts w:ascii="Arial" w:hAnsi="Arial" w:eastAsia="Arial" w:cs="Arial"/>
                <w:sz w:val="16"/>
                <w:szCs w:val="16"/>
              </w:rPr>
              <w:t xml:space="preserve">Dec 2026</w:t>
            </w:r>
            <w:r/>
          </w:p>
        </w:tc>
        <w:tc>
          <w:tcPr>
            <w:shd w:val="clear" w:color="auto" w:fill="e6f1fb"/>
            <w:tcBorders>
              <w:top w:val="single" w:color="cccccc" w:sz="1" w:space="0"/>
              <w:left w:val="single" w:color="cccccc" w:sz="1" w:space="0"/>
              <w:bottom w:val="single" w:color="cccccc" w:sz="1" w:space="0"/>
              <w:right w:val="single" w:color="cccccc" w:sz="1" w:space="0"/>
            </w:tcBorders>
            <w:tcMar>
              <w:left w:w="60" w:type="dxa"/>
              <w:top w:w="60" w:type="dxa"/>
              <w:right w:w="60" w:type="dxa"/>
              <w:bottom w:w="60" w:type="dxa"/>
            </w:tcMar>
            <w:tcW w:w="940" w:type="dxa"/>
          </w:tcPr>
          <w:p>
            <w:pPr>
              <w:pBdr/>
              <w:spacing/>
              <w:ind/>
              <w:jc w:val="center"/>
              <w:rPr/>
            </w:pPr>
            <w:r>
              <w:rPr>
                <w:rFonts w:ascii="Arial" w:hAnsi="Arial" w:eastAsia="Arial" w:cs="Arial"/>
                <w:b/>
                <w:bCs/>
                <w:color w:val="0c447c"/>
                <w:sz w:val="17"/>
                <w:szCs w:val="17"/>
              </w:rPr>
              <w:t xml:space="preserve">Planned</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00" w:type="dxa"/>
              <w:top w:w="60" w:type="dxa"/>
              <w:right w:w="80" w:type="dxa"/>
              <w:bottom w:w="60" w:type="dxa"/>
            </w:tcMar>
            <w:tcW w:w="440" w:type="dxa"/>
          </w:tcPr>
          <w:p>
            <w:pPr>
              <w:pBdr/>
              <w:spacing/>
              <w:ind/>
              <w:rPr/>
            </w:pPr>
            <w:r>
              <w:rPr>
                <w:rFonts w:ascii="Arial" w:hAnsi="Arial" w:eastAsia="Arial" w:cs="Arial"/>
                <w:b/>
                <w:bCs/>
                <w:sz w:val="16"/>
                <w:szCs w:val="16"/>
              </w:rPr>
              <w:t xml:space="preserve">OBJ-005</w:t>
            </w:r>
            <w:r/>
          </w:p>
        </w:tc>
        <w:tc>
          <w:tcPr>
            <w:shd w:val="clear" w:color="auto" w:fill="ffffff"/>
            <w:tcBorders>
              <w:top w:val="single" w:color="cccccc" w:sz="1" w:space="0"/>
              <w:left w:val="single" w:color="cccccc" w:sz="1" w:space="0"/>
              <w:bottom w:val="single" w:color="cccccc" w:sz="1" w:space="0"/>
              <w:right w:val="single" w:color="cccccc" w:sz="1" w:space="0"/>
            </w:tcBorders>
            <w:tcMar>
              <w:left w:w="100" w:type="dxa"/>
              <w:top w:w="60" w:type="dxa"/>
              <w:right w:w="80" w:type="dxa"/>
              <w:bottom w:w="60" w:type="dxa"/>
            </w:tcMar>
            <w:tcW w:w="2700" w:type="dxa"/>
          </w:tcPr>
          <w:p>
            <w:pPr>
              <w:pBdr/>
              <w:spacing/>
              <w:ind/>
              <w:rPr/>
            </w:pPr>
            <w:r>
              <w:rPr>
                <w:rFonts w:ascii="Arial" w:hAnsi="Arial" w:eastAsia="Arial" w:cs="Arial"/>
                <w:sz w:val="16"/>
                <w:szCs w:val="16"/>
              </w:rPr>
              <w:t xml:space="preserve">Treat all Critical and High risks within mandated timelines (14 days / 30 days per RTP)</w:t>
            </w:r>
            <w:r/>
          </w:p>
        </w:tc>
        <w:tc>
          <w:tcPr>
            <w:shd w:val="clear" w:color="auto" w:fill="ffffff"/>
            <w:tcBorders>
              <w:top w:val="single" w:color="cccccc" w:sz="1" w:space="0"/>
              <w:left w:val="single" w:color="cccccc" w:sz="1" w:space="0"/>
              <w:bottom w:val="single" w:color="cccccc" w:sz="1" w:space="0"/>
              <w:right w:val="single" w:color="cccccc" w:sz="1" w:space="0"/>
            </w:tcBorders>
            <w:tcMar>
              <w:left w:w="100" w:type="dxa"/>
              <w:top w:w="60" w:type="dxa"/>
              <w:right w:w="80" w:type="dxa"/>
              <w:bottom w:w="60" w:type="dxa"/>
            </w:tcMar>
            <w:tcW w:w="900" w:type="dxa"/>
          </w:tcPr>
          <w:p>
            <w:pPr>
              <w:pBdr/>
              <w:spacing/>
              <w:ind/>
              <w:rPr/>
            </w:pPr>
            <w:r>
              <w:rPr>
                <w:rFonts w:ascii="Arial" w:hAnsi="Arial" w:eastAsia="Arial" w:cs="Arial"/>
                <w:sz w:val="16"/>
                <w:szCs w:val="16"/>
              </w:rPr>
              <w:t xml:space="preserve">100% of Critical/High risks treated on time</w:t>
            </w:r>
            <w:r/>
          </w:p>
        </w:tc>
        <w:tc>
          <w:tcPr>
            <w:shd w:val="clear" w:color="auto" w:fill="ffffff"/>
            <w:tcBorders>
              <w:top w:val="single" w:color="cccccc" w:sz="1" w:space="0"/>
              <w:left w:val="single" w:color="cccccc" w:sz="1" w:space="0"/>
              <w:bottom w:val="single" w:color="cccccc" w:sz="1" w:space="0"/>
              <w:right w:val="single" w:color="cccccc" w:sz="1" w:space="0"/>
            </w:tcBorders>
            <w:tcMar>
              <w:left w:w="100" w:type="dxa"/>
              <w:top w:w="60" w:type="dxa"/>
              <w:right w:w="80" w:type="dxa"/>
              <w:bottom w:w="60" w:type="dxa"/>
            </w:tcMar>
            <w:tcW w:w="1000" w:type="dxa"/>
          </w:tcPr>
          <w:p>
            <w:pPr>
              <w:pBdr/>
              <w:spacing/>
              <w:ind/>
              <w:rPr/>
            </w:pPr>
            <w:r>
              <w:rPr>
                <w:rFonts w:ascii="Arial" w:hAnsi="Arial" w:eastAsia="Arial" w:cs="Arial"/>
                <w:sz w:val="16"/>
                <w:szCs w:val="16"/>
              </w:rPr>
              <w:t xml:space="preserve">IT Manager / CISO</w:t>
            </w:r>
            <w:r/>
          </w:p>
        </w:tc>
        <w:tc>
          <w:tcPr>
            <w:shd w:val="clear" w:color="auto" w:fill="ffffff"/>
            <w:tcBorders>
              <w:top w:val="single" w:color="cccccc" w:sz="1" w:space="0"/>
              <w:left w:val="single" w:color="cccccc" w:sz="1" w:space="0"/>
              <w:bottom w:val="single" w:color="cccccc" w:sz="1" w:space="0"/>
              <w:right w:val="single" w:color="cccccc" w:sz="1" w:space="0"/>
            </w:tcBorders>
            <w:tcMar>
              <w:left w:w="100" w:type="dxa"/>
              <w:top w:w="60" w:type="dxa"/>
              <w:right w:w="80" w:type="dxa"/>
              <w:bottom w:w="60" w:type="dxa"/>
            </w:tcMar>
            <w:tcW w:w="1500" w:type="dxa"/>
          </w:tcPr>
          <w:p>
            <w:pPr>
              <w:pBdr/>
              <w:spacing/>
              <w:ind/>
              <w:rPr/>
            </w:pPr>
            <w:r>
              <w:rPr>
                <w:rFonts w:ascii="Arial" w:hAnsi="Arial" w:eastAsia="Arial" w:cs="Arial"/>
                <w:sz w:val="16"/>
                <w:szCs w:val="16"/>
              </w:rPr>
              <w:t xml:space="preserve">Risk register status — fortnightly review</w:t>
            </w:r>
            <w:r/>
          </w:p>
        </w:tc>
        <w:tc>
          <w:tcPr>
            <w:shd w:val="clear" w:color="auto" w:fill="ffffff"/>
            <w:tcBorders>
              <w:top w:val="single" w:color="cccccc" w:sz="1" w:space="0"/>
              <w:left w:val="single" w:color="cccccc" w:sz="1" w:space="0"/>
              <w:bottom w:val="single" w:color="cccccc" w:sz="1" w:space="0"/>
              <w:right w:val="single" w:color="cccccc" w:sz="1" w:space="0"/>
            </w:tcBorders>
            <w:tcMar>
              <w:left w:w="100" w:type="dxa"/>
              <w:top w:w="60" w:type="dxa"/>
              <w:right w:w="80" w:type="dxa"/>
              <w:bottom w:w="60" w:type="dxa"/>
            </w:tcMar>
            <w:tcW w:w="1000" w:type="dxa"/>
          </w:tcPr>
          <w:p>
            <w:pPr>
              <w:pBdr/>
              <w:spacing/>
              <w:ind/>
              <w:rPr/>
            </w:pPr>
            <w:r>
              <w:rPr>
                <w:rFonts w:ascii="Arial" w:hAnsi="Arial" w:eastAsia="Arial" w:cs="Arial"/>
                <w:sz w:val="16"/>
                <w:szCs w:val="16"/>
              </w:rPr>
              <w:t xml:space="preserve">IT Manager time, tooling budget per RTP</w:t>
            </w:r>
            <w:r/>
          </w:p>
        </w:tc>
        <w:tc>
          <w:tcPr>
            <w:shd w:val="clear" w:color="auto" w:fill="ffffff"/>
            <w:tcBorders>
              <w:top w:val="single" w:color="cccccc" w:sz="1" w:space="0"/>
              <w:left w:val="single" w:color="cccccc" w:sz="1" w:space="0"/>
              <w:bottom w:val="single" w:color="cccccc" w:sz="1" w:space="0"/>
              <w:right w:val="single" w:color="cccccc" w:sz="1" w:space="0"/>
            </w:tcBorders>
            <w:tcMar>
              <w:left w:w="100" w:type="dxa"/>
              <w:top w:w="60" w:type="dxa"/>
              <w:right w:w="80" w:type="dxa"/>
              <w:bottom w:w="60" w:type="dxa"/>
            </w:tcMar>
            <w:tcW w:w="880" w:type="dxa"/>
          </w:tcPr>
          <w:p>
            <w:pPr>
              <w:pBdr/>
              <w:spacing/>
              <w:ind/>
              <w:rPr/>
            </w:pPr>
            <w:r>
              <w:rPr>
                <w:rFonts w:ascii="Arial" w:hAnsi="Arial" w:eastAsia="Arial" w:cs="Arial"/>
                <w:sz w:val="16"/>
                <w:szCs w:val="16"/>
              </w:rPr>
              <w:t xml:space="preserve">Jun 2026</w:t>
            </w:r>
            <w:r/>
          </w:p>
        </w:tc>
        <w:tc>
          <w:tcPr>
            <w:shd w:val="clear" w:color="auto" w:fill="fff3cd"/>
            <w:tcBorders>
              <w:top w:val="single" w:color="cccccc" w:sz="1" w:space="0"/>
              <w:left w:val="single" w:color="cccccc" w:sz="1" w:space="0"/>
              <w:bottom w:val="single" w:color="cccccc" w:sz="1" w:space="0"/>
              <w:right w:val="single" w:color="cccccc" w:sz="1" w:space="0"/>
            </w:tcBorders>
            <w:tcMar>
              <w:left w:w="60" w:type="dxa"/>
              <w:top w:w="60" w:type="dxa"/>
              <w:right w:w="60" w:type="dxa"/>
              <w:bottom w:w="60" w:type="dxa"/>
            </w:tcMar>
            <w:tcW w:w="940" w:type="dxa"/>
          </w:tcPr>
          <w:p>
            <w:pPr>
              <w:pBdr/>
              <w:spacing/>
              <w:ind/>
              <w:jc w:val="center"/>
              <w:rPr/>
            </w:pPr>
            <w:r>
              <w:rPr>
                <w:rFonts w:ascii="Arial" w:hAnsi="Arial" w:eastAsia="Arial" w:cs="Arial"/>
                <w:b/>
                <w:bCs/>
                <w:color w:val="856404"/>
                <w:sz w:val="17"/>
                <w:szCs w:val="17"/>
              </w:rPr>
              <w:t xml:space="preserve">In Progress</w:t>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00" w:type="dxa"/>
              <w:top w:w="60" w:type="dxa"/>
              <w:right w:w="80" w:type="dxa"/>
              <w:bottom w:w="60" w:type="dxa"/>
            </w:tcMar>
            <w:tcW w:w="440" w:type="dxa"/>
          </w:tcPr>
          <w:p>
            <w:pPr>
              <w:pBdr/>
              <w:spacing/>
              <w:ind/>
              <w:rPr/>
            </w:pPr>
            <w:r>
              <w:rPr>
                <w:rFonts w:ascii="Arial" w:hAnsi="Arial" w:eastAsia="Arial" w:cs="Arial"/>
                <w:b/>
                <w:bCs/>
                <w:sz w:val="16"/>
                <w:szCs w:val="16"/>
              </w:rPr>
              <w:t xml:space="preserve">OBJ-006</w:t>
            </w:r>
            <w:r/>
          </w:p>
        </w:tc>
        <w:tc>
          <w:tcPr>
            <w:shd w:val="clear" w:color="auto" w:fill="f2f2f2"/>
            <w:tcBorders>
              <w:top w:val="single" w:color="cccccc" w:sz="1" w:space="0"/>
              <w:left w:val="single" w:color="cccccc" w:sz="1" w:space="0"/>
              <w:bottom w:val="single" w:color="cccccc" w:sz="1" w:space="0"/>
              <w:right w:val="single" w:color="cccccc" w:sz="1" w:space="0"/>
            </w:tcBorders>
            <w:tcMar>
              <w:left w:w="100" w:type="dxa"/>
              <w:top w:w="60" w:type="dxa"/>
              <w:right w:w="80" w:type="dxa"/>
              <w:bottom w:w="60" w:type="dxa"/>
            </w:tcMar>
            <w:tcW w:w="2700" w:type="dxa"/>
          </w:tcPr>
          <w:p>
            <w:pPr>
              <w:pBdr/>
              <w:spacing/>
              <w:ind/>
              <w:rPr/>
            </w:pPr>
            <w:r>
              <w:rPr>
                <w:rFonts w:ascii="Arial" w:hAnsi="Arial" w:eastAsia="Arial" w:cs="Arial"/>
                <w:sz w:val="16"/>
                <w:szCs w:val="16"/>
              </w:rPr>
              <w:t xml:space="preserve">Complete risk assessment for all in-scope assets — 100% asset coverage</w:t>
            </w:r>
            <w:r/>
          </w:p>
        </w:tc>
        <w:tc>
          <w:tcPr>
            <w:shd w:val="clear" w:color="auto" w:fill="f2f2f2"/>
            <w:tcBorders>
              <w:top w:val="single" w:color="cccccc" w:sz="1" w:space="0"/>
              <w:left w:val="single" w:color="cccccc" w:sz="1" w:space="0"/>
              <w:bottom w:val="single" w:color="cccccc" w:sz="1" w:space="0"/>
              <w:right w:val="single" w:color="cccccc" w:sz="1" w:space="0"/>
            </w:tcBorders>
            <w:tcMar>
              <w:left w:w="100" w:type="dxa"/>
              <w:top w:w="60" w:type="dxa"/>
              <w:right w:w="80" w:type="dxa"/>
              <w:bottom w:w="60" w:type="dxa"/>
            </w:tcMar>
            <w:tcW w:w="900" w:type="dxa"/>
          </w:tcPr>
          <w:p>
            <w:pPr>
              <w:pBdr/>
              <w:spacing/>
              <w:ind/>
              <w:rPr/>
            </w:pPr>
            <w:r>
              <w:rPr>
                <w:rFonts w:ascii="Arial" w:hAnsi="Arial" w:eastAsia="Arial" w:cs="Arial"/>
                <w:sz w:val="16"/>
                <w:szCs w:val="16"/>
              </w:rPr>
              <w:t xml:space="preserve">Full asset inventory with risk score assigned</w:t>
            </w:r>
            <w:r/>
          </w:p>
        </w:tc>
        <w:tc>
          <w:tcPr>
            <w:shd w:val="clear" w:color="auto" w:fill="f2f2f2"/>
            <w:tcBorders>
              <w:top w:val="single" w:color="cccccc" w:sz="1" w:space="0"/>
              <w:left w:val="single" w:color="cccccc" w:sz="1" w:space="0"/>
              <w:bottom w:val="single" w:color="cccccc" w:sz="1" w:space="0"/>
              <w:right w:val="single" w:color="cccccc" w:sz="1" w:space="0"/>
            </w:tcBorders>
            <w:tcMar>
              <w:left w:w="100" w:type="dxa"/>
              <w:top w:w="60" w:type="dxa"/>
              <w:right w:w="80" w:type="dxa"/>
              <w:bottom w:w="60" w:type="dxa"/>
            </w:tcMar>
            <w:tcW w:w="1000" w:type="dxa"/>
          </w:tcPr>
          <w:p>
            <w:pPr>
              <w:pBdr/>
              <w:spacing/>
              <w:ind/>
              <w:rPr/>
            </w:pPr>
            <w:r>
              <w:rPr>
                <w:rFonts w:ascii="Arial" w:hAnsi="Arial" w:eastAsia="Arial" w:cs="Arial"/>
                <w:sz w:val="16"/>
                <w:szCs w:val="16"/>
              </w:rPr>
              <w:t xml:space="preserve">IS Manager</w:t>
            </w:r>
            <w:r/>
          </w:p>
        </w:tc>
        <w:tc>
          <w:tcPr>
            <w:shd w:val="clear" w:color="auto" w:fill="f2f2f2"/>
            <w:tcBorders>
              <w:top w:val="single" w:color="cccccc" w:sz="1" w:space="0"/>
              <w:left w:val="single" w:color="cccccc" w:sz="1" w:space="0"/>
              <w:bottom w:val="single" w:color="cccccc" w:sz="1" w:space="0"/>
              <w:right w:val="single" w:color="cccccc" w:sz="1" w:space="0"/>
            </w:tcBorders>
            <w:tcMar>
              <w:left w:w="100" w:type="dxa"/>
              <w:top w:w="60" w:type="dxa"/>
              <w:right w:w="80" w:type="dxa"/>
              <w:bottom w:w="60" w:type="dxa"/>
            </w:tcMar>
            <w:tcW w:w="1500" w:type="dxa"/>
          </w:tcPr>
          <w:p>
            <w:pPr>
              <w:pBdr/>
              <w:spacing/>
              <w:ind/>
              <w:rPr/>
            </w:pPr>
            <w:r>
              <w:rPr>
                <w:rFonts w:ascii="Arial" w:hAnsi="Arial" w:eastAsia="Arial" w:cs="Arial"/>
                <w:sz w:val="16"/>
                <w:szCs w:val="16"/>
              </w:rPr>
              <w:t xml:space="preserve">Risk register — coverage vs. asset inventory %</w:t>
            </w:r>
            <w:r/>
          </w:p>
        </w:tc>
        <w:tc>
          <w:tcPr>
            <w:shd w:val="clear" w:color="auto" w:fill="f2f2f2"/>
            <w:tcBorders>
              <w:top w:val="single" w:color="cccccc" w:sz="1" w:space="0"/>
              <w:left w:val="single" w:color="cccccc" w:sz="1" w:space="0"/>
              <w:bottom w:val="single" w:color="cccccc" w:sz="1" w:space="0"/>
              <w:right w:val="single" w:color="cccccc" w:sz="1" w:space="0"/>
            </w:tcBorders>
            <w:tcMar>
              <w:left w:w="100" w:type="dxa"/>
              <w:top w:w="60" w:type="dxa"/>
              <w:right w:w="80" w:type="dxa"/>
              <w:bottom w:w="60" w:type="dxa"/>
            </w:tcMar>
            <w:tcW w:w="1000" w:type="dxa"/>
          </w:tcPr>
          <w:p>
            <w:pPr>
              <w:pBdr/>
              <w:spacing/>
              <w:ind/>
              <w:rPr/>
            </w:pPr>
            <w:r>
              <w:rPr>
                <w:rFonts w:ascii="Arial" w:hAnsi="Arial" w:eastAsia="Arial" w:cs="Arial"/>
                <w:sz w:val="16"/>
                <w:szCs w:val="16"/>
              </w:rPr>
              <w:t xml:space="preserve">IS Manager + department heads time</w:t>
            </w:r>
            <w:r/>
          </w:p>
        </w:tc>
        <w:tc>
          <w:tcPr>
            <w:shd w:val="clear" w:color="auto" w:fill="f2f2f2"/>
            <w:tcBorders>
              <w:top w:val="single" w:color="cccccc" w:sz="1" w:space="0"/>
              <w:left w:val="single" w:color="cccccc" w:sz="1" w:space="0"/>
              <w:bottom w:val="single" w:color="cccccc" w:sz="1" w:space="0"/>
              <w:right w:val="single" w:color="cccccc" w:sz="1" w:space="0"/>
            </w:tcBorders>
            <w:tcMar>
              <w:left w:w="100" w:type="dxa"/>
              <w:top w:w="60" w:type="dxa"/>
              <w:right w:w="80" w:type="dxa"/>
              <w:bottom w:w="60" w:type="dxa"/>
            </w:tcMar>
            <w:tcW w:w="880" w:type="dxa"/>
          </w:tcPr>
          <w:p>
            <w:pPr>
              <w:pBdr/>
              <w:spacing/>
              <w:ind/>
              <w:rPr/>
            </w:pPr>
            <w:r>
              <w:rPr>
                <w:rFonts w:ascii="Arial" w:hAnsi="Arial" w:eastAsia="Arial" w:cs="Arial"/>
                <w:sz w:val="16"/>
                <w:szCs w:val="16"/>
              </w:rPr>
              <w:t xml:space="preserve">Jul 2026</w:t>
            </w:r>
            <w:r/>
          </w:p>
        </w:tc>
        <w:tc>
          <w:tcPr>
            <w:shd w:val="clear" w:color="auto" w:fill="fff3cd"/>
            <w:tcBorders>
              <w:top w:val="single" w:color="cccccc" w:sz="1" w:space="0"/>
              <w:left w:val="single" w:color="cccccc" w:sz="1" w:space="0"/>
              <w:bottom w:val="single" w:color="cccccc" w:sz="1" w:space="0"/>
              <w:right w:val="single" w:color="cccccc" w:sz="1" w:space="0"/>
            </w:tcBorders>
            <w:tcMar>
              <w:left w:w="60" w:type="dxa"/>
              <w:top w:w="60" w:type="dxa"/>
              <w:right w:w="60" w:type="dxa"/>
              <w:bottom w:w="60" w:type="dxa"/>
            </w:tcMar>
            <w:tcW w:w="940" w:type="dxa"/>
          </w:tcPr>
          <w:p>
            <w:pPr>
              <w:pBdr/>
              <w:spacing/>
              <w:ind/>
              <w:jc w:val="center"/>
              <w:rPr/>
            </w:pPr>
            <w:r>
              <w:rPr>
                <w:rFonts w:ascii="Arial" w:hAnsi="Arial" w:eastAsia="Arial" w:cs="Arial"/>
                <w:b/>
                <w:bCs/>
                <w:color w:val="856404"/>
                <w:sz w:val="17"/>
                <w:szCs w:val="17"/>
              </w:rPr>
              <w:t xml:space="preserve">In Progress</w:t>
            </w:r>
            <w:r/>
          </w:p>
        </w:tc>
      </w:tr>
      <w:tr>
        <w:trPr/>
        <w:tc>
          <w:tcPr>
            <w:gridSpan w:val="8"/>
            <w:shd w:val="clear" w:color="auto" w:fill="d6e4f0"/>
            <w:tcBorders>
              <w:top w:val="single" w:color="cccccc" w:sz="1" w:space="0"/>
              <w:left w:val="single" w:color="cccccc" w:sz="1" w:space="0"/>
              <w:bottom w:val="single" w:color="cccccc" w:sz="1" w:space="0"/>
              <w:right w:val="single" w:color="cccccc" w:sz="1" w:space="0"/>
            </w:tcBorders>
            <w:tcMar>
              <w:left w:w="120" w:type="dxa"/>
              <w:top w:w="60" w:type="dxa"/>
              <w:right w:w="80" w:type="dxa"/>
              <w:bottom w:w="60" w:type="dxa"/>
            </w:tcMar>
            <w:tcW w:w="9360" w:type="dxa"/>
          </w:tcPr>
          <w:p>
            <w:pPr>
              <w:pBdr/>
              <w:spacing/>
              <w:ind/>
              <w:rPr/>
            </w:pPr>
            <w:r>
              <w:rPr>
                <w:rFonts w:ascii="Arial" w:hAnsi="Arial" w:eastAsia="Arial" w:cs="Arial"/>
                <w:b/>
                <w:bCs/>
                <w:color w:val="1f3864"/>
                <w:sz w:val="18"/>
                <w:szCs w:val="18"/>
              </w:rPr>
              <w:t xml:space="preserve">People &amp; Awareness Objectives</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00" w:type="dxa"/>
              <w:top w:w="60" w:type="dxa"/>
              <w:right w:w="80" w:type="dxa"/>
              <w:bottom w:w="60" w:type="dxa"/>
            </w:tcMar>
            <w:tcW w:w="440" w:type="dxa"/>
          </w:tcPr>
          <w:p>
            <w:pPr>
              <w:pBdr/>
              <w:spacing/>
              <w:ind/>
              <w:rPr/>
            </w:pPr>
            <w:r>
              <w:rPr>
                <w:rFonts w:ascii="Arial" w:hAnsi="Arial" w:eastAsia="Arial" w:cs="Arial"/>
                <w:b/>
                <w:bCs/>
                <w:sz w:val="16"/>
                <w:szCs w:val="16"/>
              </w:rPr>
              <w:t xml:space="preserve">OBJ-007</w:t>
            </w:r>
            <w:r/>
          </w:p>
        </w:tc>
        <w:tc>
          <w:tcPr>
            <w:shd w:val="clear" w:color="auto" w:fill="ffffff"/>
            <w:tcBorders>
              <w:top w:val="single" w:color="cccccc" w:sz="1" w:space="0"/>
              <w:left w:val="single" w:color="cccccc" w:sz="1" w:space="0"/>
              <w:bottom w:val="single" w:color="cccccc" w:sz="1" w:space="0"/>
              <w:right w:val="single" w:color="cccccc" w:sz="1" w:space="0"/>
            </w:tcBorders>
            <w:tcMar>
              <w:left w:w="100" w:type="dxa"/>
              <w:top w:w="60" w:type="dxa"/>
              <w:right w:w="80" w:type="dxa"/>
              <w:bottom w:w="60" w:type="dxa"/>
            </w:tcMar>
            <w:tcW w:w="2700" w:type="dxa"/>
          </w:tcPr>
          <w:p>
            <w:pPr>
              <w:pBdr/>
              <w:spacing/>
              <w:ind/>
              <w:rPr/>
            </w:pPr>
            <w:r>
              <w:rPr>
                <w:rFonts w:ascii="Arial" w:hAnsi="Arial" w:eastAsia="Arial" w:cs="Arial"/>
                <w:sz w:val="16"/>
                <w:szCs w:val="16"/>
              </w:rPr>
              <w:t xml:space="preserve">100% of employees and contractors complete mandatory IS awareness training annually</w:t>
            </w:r>
            <w:r/>
          </w:p>
        </w:tc>
        <w:tc>
          <w:tcPr>
            <w:shd w:val="clear" w:color="auto" w:fill="ffffff"/>
            <w:tcBorders>
              <w:top w:val="single" w:color="cccccc" w:sz="1" w:space="0"/>
              <w:left w:val="single" w:color="cccccc" w:sz="1" w:space="0"/>
              <w:bottom w:val="single" w:color="cccccc" w:sz="1" w:space="0"/>
              <w:right w:val="single" w:color="cccccc" w:sz="1" w:space="0"/>
            </w:tcBorders>
            <w:tcMar>
              <w:left w:w="100" w:type="dxa"/>
              <w:top w:w="60" w:type="dxa"/>
              <w:right w:w="80" w:type="dxa"/>
              <w:bottom w:w="60" w:type="dxa"/>
            </w:tcMar>
            <w:tcW w:w="900" w:type="dxa"/>
          </w:tcPr>
          <w:p>
            <w:pPr>
              <w:pBdr/>
              <w:spacing/>
              <w:ind/>
              <w:rPr/>
            </w:pPr>
            <w:r>
              <w:rPr>
                <w:rFonts w:ascii="Arial" w:hAnsi="Arial" w:eastAsia="Arial" w:cs="Arial"/>
                <w:sz w:val="16"/>
                <w:szCs w:val="16"/>
              </w:rPr>
              <w:t xml:space="preserve">≥95% completion rate by Dec 31 each year</w:t>
            </w:r>
            <w:r/>
          </w:p>
        </w:tc>
        <w:tc>
          <w:tcPr>
            <w:shd w:val="clear" w:color="auto" w:fill="ffffff"/>
            <w:tcBorders>
              <w:top w:val="single" w:color="cccccc" w:sz="1" w:space="0"/>
              <w:left w:val="single" w:color="cccccc" w:sz="1" w:space="0"/>
              <w:bottom w:val="single" w:color="cccccc" w:sz="1" w:space="0"/>
              <w:right w:val="single" w:color="cccccc" w:sz="1" w:space="0"/>
            </w:tcBorders>
            <w:tcMar>
              <w:left w:w="100" w:type="dxa"/>
              <w:top w:w="60" w:type="dxa"/>
              <w:right w:w="80" w:type="dxa"/>
              <w:bottom w:w="60" w:type="dxa"/>
            </w:tcMar>
            <w:tcW w:w="1000" w:type="dxa"/>
          </w:tcPr>
          <w:p>
            <w:pPr>
              <w:pBdr/>
              <w:spacing/>
              <w:ind/>
              <w:rPr/>
            </w:pPr>
            <w:r>
              <w:rPr>
                <w:rFonts w:ascii="Arial" w:hAnsi="Arial" w:eastAsia="Arial" w:cs="Arial"/>
                <w:sz w:val="16"/>
                <w:szCs w:val="16"/>
              </w:rPr>
              <w:t xml:space="preserve">IS Manager / HR</w:t>
            </w:r>
            <w:r/>
          </w:p>
        </w:tc>
        <w:tc>
          <w:tcPr>
            <w:shd w:val="clear" w:color="auto" w:fill="ffffff"/>
            <w:tcBorders>
              <w:top w:val="single" w:color="cccccc" w:sz="1" w:space="0"/>
              <w:left w:val="single" w:color="cccccc" w:sz="1" w:space="0"/>
              <w:bottom w:val="single" w:color="cccccc" w:sz="1" w:space="0"/>
              <w:right w:val="single" w:color="cccccc" w:sz="1" w:space="0"/>
            </w:tcBorders>
            <w:tcMar>
              <w:left w:w="100" w:type="dxa"/>
              <w:top w:w="60" w:type="dxa"/>
              <w:right w:w="80" w:type="dxa"/>
              <w:bottom w:w="60" w:type="dxa"/>
            </w:tcMar>
            <w:tcW w:w="1500" w:type="dxa"/>
          </w:tcPr>
          <w:p>
            <w:pPr>
              <w:pBdr/>
              <w:spacing/>
              <w:ind/>
              <w:rPr/>
            </w:pPr>
            <w:r>
              <w:rPr>
                <w:rFonts w:ascii="Arial" w:hAnsi="Arial" w:eastAsia="Arial" w:cs="Arial"/>
                <w:sz w:val="16"/>
                <w:szCs w:val="16"/>
              </w:rPr>
              <w:t xml:space="preserve">LMS training completion report — monthly</w:t>
            </w:r>
            <w:r/>
          </w:p>
        </w:tc>
        <w:tc>
          <w:tcPr>
            <w:shd w:val="clear" w:color="auto" w:fill="ffffff"/>
            <w:tcBorders>
              <w:top w:val="single" w:color="cccccc" w:sz="1" w:space="0"/>
              <w:left w:val="single" w:color="cccccc" w:sz="1" w:space="0"/>
              <w:bottom w:val="single" w:color="cccccc" w:sz="1" w:space="0"/>
              <w:right w:val="single" w:color="cccccc" w:sz="1" w:space="0"/>
            </w:tcBorders>
            <w:tcMar>
              <w:left w:w="100" w:type="dxa"/>
              <w:top w:w="60" w:type="dxa"/>
              <w:right w:w="80" w:type="dxa"/>
              <w:bottom w:w="60" w:type="dxa"/>
            </w:tcMar>
            <w:tcW w:w="1000" w:type="dxa"/>
          </w:tcPr>
          <w:p>
            <w:pPr>
              <w:pBdr/>
              <w:spacing/>
              <w:ind/>
              <w:rPr/>
            </w:pPr>
            <w:r>
              <w:rPr>
                <w:rFonts w:ascii="Arial" w:hAnsi="Arial" w:eastAsia="Arial" w:cs="Arial"/>
                <w:sz w:val="16"/>
                <w:szCs w:val="16"/>
              </w:rPr>
              <w:t xml:space="preserve">HR time, LMS platform (~$500–2,000/year), IS Manager training content</w:t>
            </w:r>
            <w:r/>
          </w:p>
        </w:tc>
        <w:tc>
          <w:tcPr>
            <w:shd w:val="clear" w:color="auto" w:fill="ffffff"/>
            <w:tcBorders>
              <w:top w:val="single" w:color="cccccc" w:sz="1" w:space="0"/>
              <w:left w:val="single" w:color="cccccc" w:sz="1" w:space="0"/>
              <w:bottom w:val="single" w:color="cccccc" w:sz="1" w:space="0"/>
              <w:right w:val="single" w:color="cccccc" w:sz="1" w:space="0"/>
            </w:tcBorders>
            <w:tcMar>
              <w:left w:w="100" w:type="dxa"/>
              <w:top w:w="60" w:type="dxa"/>
              <w:right w:w="80" w:type="dxa"/>
              <w:bottom w:w="60" w:type="dxa"/>
            </w:tcMar>
            <w:tcW w:w="880" w:type="dxa"/>
          </w:tcPr>
          <w:p>
            <w:pPr>
              <w:pBdr/>
              <w:spacing/>
              <w:ind/>
              <w:rPr/>
            </w:pPr>
            <w:r>
              <w:rPr>
                <w:rFonts w:ascii="Arial" w:hAnsi="Arial" w:eastAsia="Arial" w:cs="Arial"/>
                <w:sz w:val="16"/>
                <w:szCs w:val="16"/>
              </w:rPr>
              <w:t xml:space="preserve">Dec 2026</w:t>
            </w:r>
            <w:r/>
          </w:p>
        </w:tc>
        <w:tc>
          <w:tcPr>
            <w:shd w:val="clear" w:color="auto" w:fill="fff3cd"/>
            <w:tcBorders>
              <w:top w:val="single" w:color="cccccc" w:sz="1" w:space="0"/>
              <w:left w:val="single" w:color="cccccc" w:sz="1" w:space="0"/>
              <w:bottom w:val="single" w:color="cccccc" w:sz="1" w:space="0"/>
              <w:right w:val="single" w:color="cccccc" w:sz="1" w:space="0"/>
            </w:tcBorders>
            <w:tcMar>
              <w:left w:w="60" w:type="dxa"/>
              <w:top w:w="60" w:type="dxa"/>
              <w:right w:w="60" w:type="dxa"/>
              <w:bottom w:w="60" w:type="dxa"/>
            </w:tcMar>
            <w:tcW w:w="940" w:type="dxa"/>
          </w:tcPr>
          <w:p>
            <w:pPr>
              <w:pBdr/>
              <w:spacing/>
              <w:ind/>
              <w:jc w:val="center"/>
              <w:rPr/>
            </w:pPr>
            <w:r>
              <w:rPr>
                <w:rFonts w:ascii="Arial" w:hAnsi="Arial" w:eastAsia="Arial" w:cs="Arial"/>
                <w:b/>
                <w:bCs/>
                <w:color w:val="856404"/>
                <w:sz w:val="17"/>
                <w:szCs w:val="17"/>
              </w:rPr>
              <w:t xml:space="preserve">In Progress</w:t>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00" w:type="dxa"/>
              <w:top w:w="60" w:type="dxa"/>
              <w:right w:w="80" w:type="dxa"/>
              <w:bottom w:w="60" w:type="dxa"/>
            </w:tcMar>
            <w:tcW w:w="440" w:type="dxa"/>
          </w:tcPr>
          <w:p>
            <w:pPr>
              <w:pBdr/>
              <w:spacing/>
              <w:ind/>
              <w:rPr/>
            </w:pPr>
            <w:r>
              <w:rPr>
                <w:rFonts w:ascii="Arial" w:hAnsi="Arial" w:eastAsia="Arial" w:cs="Arial"/>
                <w:b/>
                <w:bCs/>
                <w:sz w:val="16"/>
                <w:szCs w:val="16"/>
              </w:rPr>
              <w:t xml:space="preserve">OBJ-008</w:t>
            </w:r>
            <w:r/>
          </w:p>
        </w:tc>
        <w:tc>
          <w:tcPr>
            <w:shd w:val="clear" w:color="auto" w:fill="f2f2f2"/>
            <w:tcBorders>
              <w:top w:val="single" w:color="cccccc" w:sz="1" w:space="0"/>
              <w:left w:val="single" w:color="cccccc" w:sz="1" w:space="0"/>
              <w:bottom w:val="single" w:color="cccccc" w:sz="1" w:space="0"/>
              <w:right w:val="single" w:color="cccccc" w:sz="1" w:space="0"/>
            </w:tcBorders>
            <w:tcMar>
              <w:left w:w="100" w:type="dxa"/>
              <w:top w:w="60" w:type="dxa"/>
              <w:right w:w="80" w:type="dxa"/>
              <w:bottom w:w="60" w:type="dxa"/>
            </w:tcMar>
            <w:tcW w:w="2700" w:type="dxa"/>
          </w:tcPr>
          <w:p>
            <w:pPr>
              <w:pBdr/>
              <w:spacing/>
              <w:ind/>
              <w:rPr/>
            </w:pPr>
            <w:r>
              <w:rPr>
                <w:rFonts w:ascii="Arial" w:hAnsi="Arial" w:eastAsia="Arial" w:cs="Arial"/>
                <w:sz w:val="16"/>
                <w:szCs w:val="16"/>
              </w:rPr>
              <w:t xml:space="preserve">Achieve &lt;5% phishing simulation click rate across all staff</w:t>
            </w:r>
            <w:r/>
          </w:p>
        </w:tc>
        <w:tc>
          <w:tcPr>
            <w:shd w:val="clear" w:color="auto" w:fill="f2f2f2"/>
            <w:tcBorders>
              <w:top w:val="single" w:color="cccccc" w:sz="1" w:space="0"/>
              <w:left w:val="single" w:color="cccccc" w:sz="1" w:space="0"/>
              <w:bottom w:val="single" w:color="cccccc" w:sz="1" w:space="0"/>
              <w:right w:val="single" w:color="cccccc" w:sz="1" w:space="0"/>
            </w:tcBorders>
            <w:tcMar>
              <w:left w:w="100" w:type="dxa"/>
              <w:top w:w="60" w:type="dxa"/>
              <w:right w:w="80" w:type="dxa"/>
              <w:bottom w:w="60" w:type="dxa"/>
            </w:tcMar>
            <w:tcW w:w="900" w:type="dxa"/>
          </w:tcPr>
          <w:p>
            <w:pPr>
              <w:pBdr/>
              <w:spacing/>
              <w:ind/>
              <w:rPr/>
            </w:pPr>
            <w:r>
              <w:rPr>
                <w:rFonts w:ascii="Arial" w:hAnsi="Arial" w:eastAsia="Arial" w:cs="Arial"/>
                <w:sz w:val="16"/>
                <w:szCs w:val="16"/>
              </w:rPr>
              <w:t xml:space="preserve">&lt;5% click rate in final simulation of the year</w:t>
            </w:r>
            <w:r/>
          </w:p>
        </w:tc>
        <w:tc>
          <w:tcPr>
            <w:shd w:val="clear" w:color="auto" w:fill="f2f2f2"/>
            <w:tcBorders>
              <w:top w:val="single" w:color="cccccc" w:sz="1" w:space="0"/>
              <w:left w:val="single" w:color="cccccc" w:sz="1" w:space="0"/>
              <w:bottom w:val="single" w:color="cccccc" w:sz="1" w:space="0"/>
              <w:right w:val="single" w:color="cccccc" w:sz="1" w:space="0"/>
            </w:tcBorders>
            <w:tcMar>
              <w:left w:w="100" w:type="dxa"/>
              <w:top w:w="60" w:type="dxa"/>
              <w:right w:w="80" w:type="dxa"/>
              <w:bottom w:w="60" w:type="dxa"/>
            </w:tcMar>
            <w:tcW w:w="1000" w:type="dxa"/>
          </w:tcPr>
          <w:p>
            <w:pPr>
              <w:pBdr/>
              <w:spacing/>
              <w:ind/>
              <w:rPr/>
            </w:pPr>
            <w:r>
              <w:rPr>
                <w:rFonts w:ascii="Arial" w:hAnsi="Arial" w:eastAsia="Arial" w:cs="Arial"/>
                <w:sz w:val="16"/>
                <w:szCs w:val="16"/>
              </w:rPr>
              <w:t xml:space="preserve">IS Manager</w:t>
            </w:r>
            <w:r/>
          </w:p>
        </w:tc>
        <w:tc>
          <w:tcPr>
            <w:shd w:val="clear" w:color="auto" w:fill="f2f2f2"/>
            <w:tcBorders>
              <w:top w:val="single" w:color="cccccc" w:sz="1" w:space="0"/>
              <w:left w:val="single" w:color="cccccc" w:sz="1" w:space="0"/>
              <w:bottom w:val="single" w:color="cccccc" w:sz="1" w:space="0"/>
              <w:right w:val="single" w:color="cccccc" w:sz="1" w:space="0"/>
            </w:tcBorders>
            <w:tcMar>
              <w:left w:w="100" w:type="dxa"/>
              <w:top w:w="60" w:type="dxa"/>
              <w:right w:w="80" w:type="dxa"/>
              <w:bottom w:w="60" w:type="dxa"/>
            </w:tcMar>
            <w:tcW w:w="1500" w:type="dxa"/>
          </w:tcPr>
          <w:p>
            <w:pPr>
              <w:pBdr/>
              <w:spacing/>
              <w:ind/>
              <w:rPr/>
            </w:pPr>
            <w:r>
              <w:rPr>
                <w:rFonts w:ascii="Arial" w:hAnsi="Arial" w:eastAsia="Arial" w:cs="Arial"/>
                <w:sz w:val="16"/>
                <w:szCs w:val="16"/>
              </w:rPr>
              <w:t xml:space="preserve">Phishing simulation platform monthly report</w:t>
            </w:r>
            <w:r/>
          </w:p>
        </w:tc>
        <w:tc>
          <w:tcPr>
            <w:shd w:val="clear" w:color="auto" w:fill="f2f2f2"/>
            <w:tcBorders>
              <w:top w:val="single" w:color="cccccc" w:sz="1" w:space="0"/>
              <w:left w:val="single" w:color="cccccc" w:sz="1" w:space="0"/>
              <w:bottom w:val="single" w:color="cccccc" w:sz="1" w:space="0"/>
              <w:right w:val="single" w:color="cccccc" w:sz="1" w:space="0"/>
            </w:tcBorders>
            <w:tcMar>
              <w:left w:w="100" w:type="dxa"/>
              <w:top w:w="60" w:type="dxa"/>
              <w:right w:w="80" w:type="dxa"/>
              <w:bottom w:w="60" w:type="dxa"/>
            </w:tcMar>
            <w:tcW w:w="1000" w:type="dxa"/>
          </w:tcPr>
          <w:p>
            <w:pPr>
              <w:pBdr/>
              <w:spacing/>
              <w:ind/>
              <w:rPr/>
            </w:pPr>
            <w:r>
              <w:rPr>
                <w:rFonts w:ascii="Arial" w:hAnsi="Arial" w:eastAsia="Arial" w:cs="Arial"/>
                <w:sz w:val="16"/>
                <w:szCs w:val="16"/>
              </w:rPr>
              <w:t xml:space="preserve">Phishing simulation platform (~$1,000–3,000/year)</w:t>
            </w:r>
            <w:r/>
          </w:p>
        </w:tc>
        <w:tc>
          <w:tcPr>
            <w:shd w:val="clear" w:color="auto" w:fill="f2f2f2"/>
            <w:tcBorders>
              <w:top w:val="single" w:color="cccccc" w:sz="1" w:space="0"/>
              <w:left w:val="single" w:color="cccccc" w:sz="1" w:space="0"/>
              <w:bottom w:val="single" w:color="cccccc" w:sz="1" w:space="0"/>
              <w:right w:val="single" w:color="cccccc" w:sz="1" w:space="0"/>
            </w:tcBorders>
            <w:tcMar>
              <w:left w:w="100" w:type="dxa"/>
              <w:top w:w="60" w:type="dxa"/>
              <w:right w:w="80" w:type="dxa"/>
              <w:bottom w:w="60" w:type="dxa"/>
            </w:tcMar>
            <w:tcW w:w="880" w:type="dxa"/>
          </w:tcPr>
          <w:p>
            <w:pPr>
              <w:pBdr/>
              <w:spacing/>
              <w:ind/>
              <w:rPr/>
            </w:pPr>
            <w:r>
              <w:rPr>
                <w:rFonts w:ascii="Arial" w:hAnsi="Arial" w:eastAsia="Arial" w:cs="Arial"/>
                <w:sz w:val="16"/>
                <w:szCs w:val="16"/>
              </w:rPr>
              <w:t xml:space="preserve">Dec 2026</w:t>
            </w:r>
            <w:r/>
          </w:p>
        </w:tc>
        <w:tc>
          <w:tcPr>
            <w:shd w:val="clear" w:color="auto" w:fill="e6f1fb"/>
            <w:tcBorders>
              <w:top w:val="single" w:color="cccccc" w:sz="1" w:space="0"/>
              <w:left w:val="single" w:color="cccccc" w:sz="1" w:space="0"/>
              <w:bottom w:val="single" w:color="cccccc" w:sz="1" w:space="0"/>
              <w:right w:val="single" w:color="cccccc" w:sz="1" w:space="0"/>
            </w:tcBorders>
            <w:tcMar>
              <w:left w:w="60" w:type="dxa"/>
              <w:top w:w="60" w:type="dxa"/>
              <w:right w:w="60" w:type="dxa"/>
              <w:bottom w:w="60" w:type="dxa"/>
            </w:tcMar>
            <w:tcW w:w="940" w:type="dxa"/>
          </w:tcPr>
          <w:p>
            <w:pPr>
              <w:pBdr/>
              <w:spacing/>
              <w:ind/>
              <w:jc w:val="center"/>
              <w:rPr/>
            </w:pPr>
            <w:r>
              <w:rPr>
                <w:rFonts w:ascii="Arial" w:hAnsi="Arial" w:eastAsia="Arial" w:cs="Arial"/>
                <w:b/>
                <w:bCs/>
                <w:color w:val="0c447c"/>
                <w:sz w:val="17"/>
                <w:szCs w:val="17"/>
              </w:rPr>
              <w:t xml:space="preserve">Planned</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00" w:type="dxa"/>
              <w:top w:w="60" w:type="dxa"/>
              <w:right w:w="80" w:type="dxa"/>
              <w:bottom w:w="60" w:type="dxa"/>
            </w:tcMar>
            <w:tcW w:w="440" w:type="dxa"/>
          </w:tcPr>
          <w:p>
            <w:pPr>
              <w:pBdr/>
              <w:spacing/>
              <w:ind/>
              <w:rPr/>
            </w:pPr>
            <w:r>
              <w:rPr>
                <w:rFonts w:ascii="Arial" w:hAnsi="Arial" w:eastAsia="Arial" w:cs="Arial"/>
                <w:b/>
                <w:bCs/>
                <w:sz w:val="16"/>
                <w:szCs w:val="16"/>
              </w:rPr>
              <w:t xml:space="preserve">OBJ-009</w:t>
            </w:r>
            <w:r/>
          </w:p>
        </w:tc>
        <w:tc>
          <w:tcPr>
            <w:shd w:val="clear" w:color="auto" w:fill="ffffff"/>
            <w:tcBorders>
              <w:top w:val="single" w:color="cccccc" w:sz="1" w:space="0"/>
              <w:left w:val="single" w:color="cccccc" w:sz="1" w:space="0"/>
              <w:bottom w:val="single" w:color="cccccc" w:sz="1" w:space="0"/>
              <w:right w:val="single" w:color="cccccc" w:sz="1" w:space="0"/>
            </w:tcBorders>
            <w:tcMar>
              <w:left w:w="100" w:type="dxa"/>
              <w:top w:w="60" w:type="dxa"/>
              <w:right w:w="80" w:type="dxa"/>
              <w:bottom w:w="60" w:type="dxa"/>
            </w:tcMar>
            <w:tcW w:w="2700" w:type="dxa"/>
          </w:tcPr>
          <w:p>
            <w:pPr>
              <w:pBdr/>
              <w:spacing/>
              <w:ind/>
              <w:rPr/>
            </w:pPr>
            <w:r>
              <w:rPr>
                <w:rFonts w:ascii="Arial" w:hAnsi="Arial" w:eastAsia="Arial" w:cs="Arial"/>
                <w:sz w:val="16"/>
                <w:szCs w:val="16"/>
              </w:rPr>
              <w:t xml:space="preserve">Ensure all IS-specific roles hold recognized IS qualifications (CISM, CISSP, ISO 27001 LA/LI)</w:t>
            </w:r>
            <w:r/>
          </w:p>
        </w:tc>
        <w:tc>
          <w:tcPr>
            <w:shd w:val="clear" w:color="auto" w:fill="ffffff"/>
            <w:tcBorders>
              <w:top w:val="single" w:color="cccccc" w:sz="1" w:space="0"/>
              <w:left w:val="single" w:color="cccccc" w:sz="1" w:space="0"/>
              <w:bottom w:val="single" w:color="cccccc" w:sz="1" w:space="0"/>
              <w:right w:val="single" w:color="cccccc" w:sz="1" w:space="0"/>
            </w:tcBorders>
            <w:tcMar>
              <w:left w:w="100" w:type="dxa"/>
              <w:top w:w="60" w:type="dxa"/>
              <w:right w:w="80" w:type="dxa"/>
              <w:bottom w:w="60" w:type="dxa"/>
            </w:tcMar>
            <w:tcW w:w="900" w:type="dxa"/>
          </w:tcPr>
          <w:p>
            <w:pPr>
              <w:pBdr/>
              <w:spacing/>
              <w:ind/>
              <w:rPr/>
            </w:pPr>
            <w:r>
              <w:rPr>
                <w:rFonts w:ascii="Arial" w:hAnsi="Arial" w:eastAsia="Arial" w:cs="Arial"/>
                <w:sz w:val="16"/>
                <w:szCs w:val="16"/>
              </w:rPr>
              <w:t xml:space="preserve">100% of ISMS team roles qualified</w:t>
            </w:r>
            <w:r/>
          </w:p>
        </w:tc>
        <w:tc>
          <w:tcPr>
            <w:shd w:val="clear" w:color="auto" w:fill="ffffff"/>
            <w:tcBorders>
              <w:top w:val="single" w:color="cccccc" w:sz="1" w:space="0"/>
              <w:left w:val="single" w:color="cccccc" w:sz="1" w:space="0"/>
              <w:bottom w:val="single" w:color="cccccc" w:sz="1" w:space="0"/>
              <w:right w:val="single" w:color="cccccc" w:sz="1" w:space="0"/>
            </w:tcBorders>
            <w:tcMar>
              <w:left w:w="100" w:type="dxa"/>
              <w:top w:w="60" w:type="dxa"/>
              <w:right w:w="80" w:type="dxa"/>
              <w:bottom w:w="60" w:type="dxa"/>
            </w:tcMar>
            <w:tcW w:w="1000" w:type="dxa"/>
          </w:tcPr>
          <w:p>
            <w:pPr>
              <w:pBdr/>
              <w:spacing/>
              <w:ind/>
              <w:rPr/>
            </w:pPr>
            <w:r>
              <w:rPr>
                <w:rFonts w:ascii="Arial" w:hAnsi="Arial" w:eastAsia="Arial" w:cs="Arial"/>
                <w:sz w:val="16"/>
                <w:szCs w:val="16"/>
              </w:rPr>
              <w:t xml:space="preserve">CISO</w:t>
            </w:r>
            <w:r/>
          </w:p>
        </w:tc>
        <w:tc>
          <w:tcPr>
            <w:shd w:val="clear" w:color="auto" w:fill="ffffff"/>
            <w:tcBorders>
              <w:top w:val="single" w:color="cccccc" w:sz="1" w:space="0"/>
              <w:left w:val="single" w:color="cccccc" w:sz="1" w:space="0"/>
              <w:bottom w:val="single" w:color="cccccc" w:sz="1" w:space="0"/>
              <w:right w:val="single" w:color="cccccc" w:sz="1" w:space="0"/>
            </w:tcBorders>
            <w:tcMar>
              <w:left w:w="100" w:type="dxa"/>
              <w:top w:w="60" w:type="dxa"/>
              <w:right w:w="80" w:type="dxa"/>
              <w:bottom w:w="60" w:type="dxa"/>
            </w:tcMar>
            <w:tcW w:w="1500" w:type="dxa"/>
          </w:tcPr>
          <w:p>
            <w:pPr>
              <w:pBdr/>
              <w:spacing/>
              <w:ind/>
              <w:rPr/>
            </w:pPr>
            <w:r>
              <w:rPr>
                <w:rFonts w:ascii="Arial" w:hAnsi="Arial" w:eastAsia="Arial" w:cs="Arial"/>
                <w:sz w:val="16"/>
                <w:szCs w:val="16"/>
              </w:rPr>
              <w:t xml:space="preserve">Training and certification records in ISMS-CMP-001</w:t>
            </w:r>
            <w:r/>
          </w:p>
        </w:tc>
        <w:tc>
          <w:tcPr>
            <w:shd w:val="clear" w:color="auto" w:fill="ffffff"/>
            <w:tcBorders>
              <w:top w:val="single" w:color="cccccc" w:sz="1" w:space="0"/>
              <w:left w:val="single" w:color="cccccc" w:sz="1" w:space="0"/>
              <w:bottom w:val="single" w:color="cccccc" w:sz="1" w:space="0"/>
              <w:right w:val="single" w:color="cccccc" w:sz="1" w:space="0"/>
            </w:tcBorders>
            <w:tcMar>
              <w:left w:w="100" w:type="dxa"/>
              <w:top w:w="60" w:type="dxa"/>
              <w:right w:w="80" w:type="dxa"/>
              <w:bottom w:w="60" w:type="dxa"/>
            </w:tcMar>
            <w:tcW w:w="1000" w:type="dxa"/>
          </w:tcPr>
          <w:p>
            <w:pPr>
              <w:pBdr/>
              <w:spacing/>
              <w:ind/>
              <w:rPr/>
            </w:pPr>
            <w:r>
              <w:rPr>
                <w:rFonts w:ascii="Arial" w:hAnsi="Arial" w:eastAsia="Arial" w:cs="Arial"/>
                <w:sz w:val="16"/>
                <w:szCs w:val="16"/>
              </w:rPr>
              <w:t xml:space="preserve">Training budget (~$3,000–8,000 per person)</w:t>
            </w:r>
            <w:r/>
          </w:p>
        </w:tc>
        <w:tc>
          <w:tcPr>
            <w:shd w:val="clear" w:color="auto" w:fill="ffffff"/>
            <w:tcBorders>
              <w:top w:val="single" w:color="cccccc" w:sz="1" w:space="0"/>
              <w:left w:val="single" w:color="cccccc" w:sz="1" w:space="0"/>
              <w:bottom w:val="single" w:color="cccccc" w:sz="1" w:space="0"/>
              <w:right w:val="single" w:color="cccccc" w:sz="1" w:space="0"/>
            </w:tcBorders>
            <w:tcMar>
              <w:left w:w="100" w:type="dxa"/>
              <w:top w:w="60" w:type="dxa"/>
              <w:right w:w="80" w:type="dxa"/>
              <w:bottom w:w="60" w:type="dxa"/>
            </w:tcMar>
            <w:tcW w:w="880" w:type="dxa"/>
          </w:tcPr>
          <w:p>
            <w:pPr>
              <w:pBdr/>
              <w:spacing/>
              <w:ind/>
              <w:rPr/>
            </w:pPr>
            <w:r>
              <w:rPr>
                <w:rFonts w:ascii="Arial" w:hAnsi="Arial" w:eastAsia="Arial" w:cs="Arial"/>
                <w:sz w:val="16"/>
                <w:szCs w:val="16"/>
              </w:rPr>
              <w:t xml:space="preserve">Dec 2026</w:t>
            </w:r>
            <w:r/>
          </w:p>
        </w:tc>
        <w:tc>
          <w:tcPr>
            <w:shd w:val="clear" w:color="auto" w:fill="fff3cd"/>
            <w:tcBorders>
              <w:top w:val="single" w:color="cccccc" w:sz="1" w:space="0"/>
              <w:left w:val="single" w:color="cccccc" w:sz="1" w:space="0"/>
              <w:bottom w:val="single" w:color="cccccc" w:sz="1" w:space="0"/>
              <w:right w:val="single" w:color="cccccc" w:sz="1" w:space="0"/>
            </w:tcBorders>
            <w:tcMar>
              <w:left w:w="60" w:type="dxa"/>
              <w:top w:w="60" w:type="dxa"/>
              <w:right w:w="60" w:type="dxa"/>
              <w:bottom w:w="60" w:type="dxa"/>
            </w:tcMar>
            <w:tcW w:w="940" w:type="dxa"/>
          </w:tcPr>
          <w:p>
            <w:pPr>
              <w:pBdr/>
              <w:spacing/>
              <w:ind/>
              <w:jc w:val="center"/>
              <w:rPr/>
            </w:pPr>
            <w:r>
              <w:rPr>
                <w:rFonts w:ascii="Arial" w:hAnsi="Arial" w:eastAsia="Arial" w:cs="Arial"/>
                <w:b/>
                <w:bCs/>
                <w:color w:val="856404"/>
                <w:sz w:val="17"/>
                <w:szCs w:val="17"/>
              </w:rPr>
              <w:t xml:space="preserve">In Progress</w:t>
            </w:r>
            <w:r/>
          </w:p>
        </w:tc>
      </w:tr>
      <w:tr>
        <w:trPr/>
        <w:tc>
          <w:tcPr>
            <w:gridSpan w:val="8"/>
            <w:shd w:val="clear" w:color="auto" w:fill="d6e4f0"/>
            <w:tcBorders>
              <w:top w:val="single" w:color="cccccc" w:sz="1" w:space="0"/>
              <w:left w:val="single" w:color="cccccc" w:sz="1" w:space="0"/>
              <w:bottom w:val="single" w:color="cccccc" w:sz="1" w:space="0"/>
              <w:right w:val="single" w:color="cccccc" w:sz="1" w:space="0"/>
            </w:tcBorders>
            <w:tcMar>
              <w:left w:w="120" w:type="dxa"/>
              <w:top w:w="60" w:type="dxa"/>
              <w:right w:w="80" w:type="dxa"/>
              <w:bottom w:w="60" w:type="dxa"/>
            </w:tcMar>
            <w:tcW w:w="9360" w:type="dxa"/>
          </w:tcPr>
          <w:p>
            <w:pPr>
              <w:pBdr/>
              <w:spacing/>
              <w:ind/>
              <w:rPr/>
            </w:pPr>
            <w:r>
              <w:rPr>
                <w:rFonts w:ascii="Arial" w:hAnsi="Arial" w:eastAsia="Arial" w:cs="Arial"/>
                <w:b/>
                <w:bCs/>
                <w:color w:val="1f3864"/>
                <w:sz w:val="18"/>
                <w:szCs w:val="18"/>
              </w:rPr>
              <w:t xml:space="preserve">Compliance &amp; Audit Objectives</w:t>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00" w:type="dxa"/>
              <w:top w:w="60" w:type="dxa"/>
              <w:right w:w="80" w:type="dxa"/>
              <w:bottom w:w="60" w:type="dxa"/>
            </w:tcMar>
            <w:tcW w:w="440" w:type="dxa"/>
          </w:tcPr>
          <w:p>
            <w:pPr>
              <w:pBdr/>
              <w:spacing/>
              <w:ind/>
              <w:rPr/>
            </w:pPr>
            <w:r>
              <w:rPr>
                <w:rFonts w:ascii="Arial" w:hAnsi="Arial" w:eastAsia="Arial" w:cs="Arial"/>
                <w:b/>
                <w:bCs/>
                <w:sz w:val="16"/>
                <w:szCs w:val="16"/>
              </w:rPr>
              <w:t xml:space="preserve">OBJ-010</w:t>
            </w:r>
            <w:r/>
          </w:p>
        </w:tc>
        <w:tc>
          <w:tcPr>
            <w:shd w:val="clear" w:color="auto" w:fill="f2f2f2"/>
            <w:tcBorders>
              <w:top w:val="single" w:color="cccccc" w:sz="1" w:space="0"/>
              <w:left w:val="single" w:color="cccccc" w:sz="1" w:space="0"/>
              <w:bottom w:val="single" w:color="cccccc" w:sz="1" w:space="0"/>
              <w:right w:val="single" w:color="cccccc" w:sz="1" w:space="0"/>
            </w:tcBorders>
            <w:tcMar>
              <w:left w:w="100" w:type="dxa"/>
              <w:top w:w="60" w:type="dxa"/>
              <w:right w:w="80" w:type="dxa"/>
              <w:bottom w:w="60" w:type="dxa"/>
            </w:tcMar>
            <w:tcW w:w="2700" w:type="dxa"/>
          </w:tcPr>
          <w:p>
            <w:pPr>
              <w:pBdr/>
              <w:spacing/>
              <w:ind/>
              <w:rPr/>
            </w:pPr>
            <w:r>
              <w:rPr>
                <w:rFonts w:ascii="Arial" w:hAnsi="Arial" w:eastAsia="Arial" w:cs="Arial"/>
                <w:sz w:val="16"/>
                <w:szCs w:val="16"/>
              </w:rPr>
              <w:t xml:space="preserve">Zero major non-conformities in internal audit cycle</w:t>
            </w:r>
            <w:r/>
          </w:p>
        </w:tc>
        <w:tc>
          <w:tcPr>
            <w:shd w:val="clear" w:color="auto" w:fill="f2f2f2"/>
            <w:tcBorders>
              <w:top w:val="single" w:color="cccccc" w:sz="1" w:space="0"/>
              <w:left w:val="single" w:color="cccccc" w:sz="1" w:space="0"/>
              <w:bottom w:val="single" w:color="cccccc" w:sz="1" w:space="0"/>
              <w:right w:val="single" w:color="cccccc" w:sz="1" w:space="0"/>
            </w:tcBorders>
            <w:tcMar>
              <w:left w:w="100" w:type="dxa"/>
              <w:top w:w="60" w:type="dxa"/>
              <w:right w:w="80" w:type="dxa"/>
              <w:bottom w:w="60" w:type="dxa"/>
            </w:tcMar>
            <w:tcW w:w="900" w:type="dxa"/>
          </w:tcPr>
          <w:p>
            <w:pPr>
              <w:pBdr/>
              <w:spacing/>
              <w:ind/>
              <w:rPr/>
            </w:pPr>
            <w:r>
              <w:rPr>
                <w:rFonts w:ascii="Arial" w:hAnsi="Arial" w:eastAsia="Arial" w:cs="Arial"/>
                <w:sz w:val="16"/>
                <w:szCs w:val="16"/>
              </w:rPr>
              <w:t xml:space="preserve">0 major NCs; ≤3 minor NCs per audit</w:t>
            </w:r>
            <w:r/>
          </w:p>
        </w:tc>
        <w:tc>
          <w:tcPr>
            <w:shd w:val="clear" w:color="auto" w:fill="f2f2f2"/>
            <w:tcBorders>
              <w:top w:val="single" w:color="cccccc" w:sz="1" w:space="0"/>
              <w:left w:val="single" w:color="cccccc" w:sz="1" w:space="0"/>
              <w:bottom w:val="single" w:color="cccccc" w:sz="1" w:space="0"/>
              <w:right w:val="single" w:color="cccccc" w:sz="1" w:space="0"/>
            </w:tcBorders>
            <w:tcMar>
              <w:left w:w="100" w:type="dxa"/>
              <w:top w:w="60" w:type="dxa"/>
              <w:right w:w="80" w:type="dxa"/>
              <w:bottom w:w="60" w:type="dxa"/>
            </w:tcMar>
            <w:tcW w:w="1000" w:type="dxa"/>
          </w:tcPr>
          <w:p>
            <w:pPr>
              <w:pBdr/>
              <w:spacing/>
              <w:ind/>
              <w:rPr/>
            </w:pPr>
            <w:r>
              <w:rPr>
                <w:rFonts w:ascii="Arial" w:hAnsi="Arial" w:eastAsia="Arial" w:cs="Arial"/>
                <w:sz w:val="16"/>
                <w:szCs w:val="16"/>
              </w:rPr>
              <w:t xml:space="preserve">IS Manager</w:t>
            </w:r>
            <w:r/>
          </w:p>
        </w:tc>
        <w:tc>
          <w:tcPr>
            <w:shd w:val="clear" w:color="auto" w:fill="f2f2f2"/>
            <w:tcBorders>
              <w:top w:val="single" w:color="cccccc" w:sz="1" w:space="0"/>
              <w:left w:val="single" w:color="cccccc" w:sz="1" w:space="0"/>
              <w:bottom w:val="single" w:color="cccccc" w:sz="1" w:space="0"/>
              <w:right w:val="single" w:color="cccccc" w:sz="1" w:space="0"/>
            </w:tcBorders>
            <w:tcMar>
              <w:left w:w="100" w:type="dxa"/>
              <w:top w:w="60" w:type="dxa"/>
              <w:right w:w="80" w:type="dxa"/>
              <w:bottom w:w="60" w:type="dxa"/>
            </w:tcMar>
            <w:tcW w:w="1500" w:type="dxa"/>
          </w:tcPr>
          <w:p>
            <w:pPr>
              <w:pBdr/>
              <w:spacing/>
              <w:ind/>
              <w:rPr/>
            </w:pPr>
            <w:r>
              <w:rPr>
                <w:rFonts w:ascii="Arial" w:hAnsi="Arial" w:eastAsia="Arial" w:cs="Arial"/>
                <w:sz w:val="16"/>
                <w:szCs w:val="16"/>
              </w:rPr>
              <w:t xml:space="preserve">Internal audit report (ISMS-IAP-001)</w:t>
            </w:r>
            <w:r/>
          </w:p>
        </w:tc>
        <w:tc>
          <w:tcPr>
            <w:shd w:val="clear" w:color="auto" w:fill="f2f2f2"/>
            <w:tcBorders>
              <w:top w:val="single" w:color="cccccc" w:sz="1" w:space="0"/>
              <w:left w:val="single" w:color="cccccc" w:sz="1" w:space="0"/>
              <w:bottom w:val="single" w:color="cccccc" w:sz="1" w:space="0"/>
              <w:right w:val="single" w:color="cccccc" w:sz="1" w:space="0"/>
            </w:tcBorders>
            <w:tcMar>
              <w:left w:w="100" w:type="dxa"/>
              <w:top w:w="60" w:type="dxa"/>
              <w:right w:w="80" w:type="dxa"/>
              <w:bottom w:w="60" w:type="dxa"/>
            </w:tcMar>
            <w:tcW w:w="1000" w:type="dxa"/>
          </w:tcPr>
          <w:p>
            <w:pPr>
              <w:pBdr/>
              <w:spacing/>
              <w:ind/>
              <w:rPr/>
            </w:pPr>
            <w:r>
              <w:rPr>
                <w:rFonts w:ascii="Arial" w:hAnsi="Arial" w:eastAsia="Arial" w:cs="Arial"/>
                <w:sz w:val="16"/>
                <w:szCs w:val="16"/>
              </w:rPr>
              <w:t xml:space="preserve">IS Manager + department heads time (audit prep)</w:t>
            </w:r>
            <w:r/>
          </w:p>
        </w:tc>
        <w:tc>
          <w:tcPr>
            <w:shd w:val="clear" w:color="auto" w:fill="f2f2f2"/>
            <w:tcBorders>
              <w:top w:val="single" w:color="cccccc" w:sz="1" w:space="0"/>
              <w:left w:val="single" w:color="cccccc" w:sz="1" w:space="0"/>
              <w:bottom w:val="single" w:color="cccccc" w:sz="1" w:space="0"/>
              <w:right w:val="single" w:color="cccccc" w:sz="1" w:space="0"/>
            </w:tcBorders>
            <w:tcMar>
              <w:left w:w="100" w:type="dxa"/>
              <w:top w:w="60" w:type="dxa"/>
              <w:right w:w="80" w:type="dxa"/>
              <w:bottom w:w="60" w:type="dxa"/>
            </w:tcMar>
            <w:tcW w:w="880" w:type="dxa"/>
          </w:tcPr>
          <w:p>
            <w:pPr>
              <w:pBdr/>
              <w:spacing/>
              <w:ind/>
              <w:rPr/>
            </w:pPr>
            <w:r>
              <w:rPr>
                <w:rFonts w:ascii="Arial" w:hAnsi="Arial" w:eastAsia="Arial" w:cs="Arial"/>
                <w:sz w:val="16"/>
                <w:szCs w:val="16"/>
              </w:rPr>
              <w:t xml:space="preserve">Annual — Dec</w:t>
            </w:r>
            <w:r/>
          </w:p>
        </w:tc>
        <w:tc>
          <w:tcPr>
            <w:shd w:val="clear" w:color="auto" w:fill="e6f1fb"/>
            <w:tcBorders>
              <w:top w:val="single" w:color="cccccc" w:sz="1" w:space="0"/>
              <w:left w:val="single" w:color="cccccc" w:sz="1" w:space="0"/>
              <w:bottom w:val="single" w:color="cccccc" w:sz="1" w:space="0"/>
              <w:right w:val="single" w:color="cccccc" w:sz="1" w:space="0"/>
            </w:tcBorders>
            <w:tcMar>
              <w:left w:w="60" w:type="dxa"/>
              <w:top w:w="60" w:type="dxa"/>
              <w:right w:w="60" w:type="dxa"/>
              <w:bottom w:w="60" w:type="dxa"/>
            </w:tcMar>
            <w:tcW w:w="940" w:type="dxa"/>
          </w:tcPr>
          <w:p>
            <w:pPr>
              <w:pBdr/>
              <w:spacing/>
              <w:ind/>
              <w:jc w:val="center"/>
              <w:rPr/>
            </w:pPr>
            <w:r>
              <w:rPr>
                <w:rFonts w:ascii="Arial" w:hAnsi="Arial" w:eastAsia="Arial" w:cs="Arial"/>
                <w:b/>
                <w:bCs/>
                <w:color w:val="0c447c"/>
                <w:sz w:val="17"/>
                <w:szCs w:val="17"/>
              </w:rPr>
              <w:t xml:space="preserve">Planned</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00" w:type="dxa"/>
              <w:top w:w="60" w:type="dxa"/>
              <w:right w:w="80" w:type="dxa"/>
              <w:bottom w:w="60" w:type="dxa"/>
            </w:tcMar>
            <w:tcW w:w="440" w:type="dxa"/>
          </w:tcPr>
          <w:p>
            <w:pPr>
              <w:pBdr/>
              <w:spacing/>
              <w:ind/>
              <w:rPr/>
            </w:pPr>
            <w:r>
              <w:rPr>
                <w:rFonts w:ascii="Arial" w:hAnsi="Arial" w:eastAsia="Arial" w:cs="Arial"/>
                <w:b/>
                <w:bCs/>
                <w:sz w:val="16"/>
                <w:szCs w:val="16"/>
              </w:rPr>
              <w:t xml:space="preserve">OBJ-011</w:t>
            </w:r>
            <w:r/>
          </w:p>
        </w:tc>
        <w:tc>
          <w:tcPr>
            <w:shd w:val="clear" w:color="auto" w:fill="ffffff"/>
            <w:tcBorders>
              <w:top w:val="single" w:color="cccccc" w:sz="1" w:space="0"/>
              <w:left w:val="single" w:color="cccccc" w:sz="1" w:space="0"/>
              <w:bottom w:val="single" w:color="cccccc" w:sz="1" w:space="0"/>
              <w:right w:val="single" w:color="cccccc" w:sz="1" w:space="0"/>
            </w:tcBorders>
            <w:tcMar>
              <w:left w:w="100" w:type="dxa"/>
              <w:top w:w="60" w:type="dxa"/>
              <w:right w:w="80" w:type="dxa"/>
              <w:bottom w:w="60" w:type="dxa"/>
            </w:tcMar>
            <w:tcW w:w="2700" w:type="dxa"/>
          </w:tcPr>
          <w:p>
            <w:pPr>
              <w:pBdr/>
              <w:spacing/>
              <w:ind/>
              <w:rPr/>
            </w:pPr>
            <w:r>
              <w:rPr>
                <w:rFonts w:ascii="Arial" w:hAnsi="Arial" w:eastAsia="Arial" w:cs="Arial"/>
                <w:sz w:val="16"/>
                <w:szCs w:val="16"/>
              </w:rPr>
              <w:t xml:space="preserve">Achieve 100% supplier IS compliance for Tier 1 suppliers (signed IS clauses in contracts)</w:t>
            </w:r>
            <w:r/>
          </w:p>
        </w:tc>
        <w:tc>
          <w:tcPr>
            <w:shd w:val="clear" w:color="auto" w:fill="ffffff"/>
            <w:tcBorders>
              <w:top w:val="single" w:color="cccccc" w:sz="1" w:space="0"/>
              <w:left w:val="single" w:color="cccccc" w:sz="1" w:space="0"/>
              <w:bottom w:val="single" w:color="cccccc" w:sz="1" w:space="0"/>
              <w:right w:val="single" w:color="cccccc" w:sz="1" w:space="0"/>
            </w:tcBorders>
            <w:tcMar>
              <w:left w:w="100" w:type="dxa"/>
              <w:top w:w="60" w:type="dxa"/>
              <w:right w:w="80" w:type="dxa"/>
              <w:bottom w:w="60" w:type="dxa"/>
            </w:tcMar>
            <w:tcW w:w="900" w:type="dxa"/>
          </w:tcPr>
          <w:p>
            <w:pPr>
              <w:pBdr/>
              <w:spacing/>
              <w:ind/>
              <w:rPr/>
            </w:pPr>
            <w:r>
              <w:rPr>
                <w:rFonts w:ascii="Arial" w:hAnsi="Arial" w:eastAsia="Arial" w:cs="Arial"/>
                <w:sz w:val="16"/>
                <w:szCs w:val="16"/>
              </w:rPr>
              <w:t xml:space="preserve">All Tier 1 suppliers with data access have signed IS contractual obligations</w:t>
            </w:r>
            <w:r/>
          </w:p>
        </w:tc>
        <w:tc>
          <w:tcPr>
            <w:shd w:val="clear" w:color="auto" w:fill="ffffff"/>
            <w:tcBorders>
              <w:top w:val="single" w:color="cccccc" w:sz="1" w:space="0"/>
              <w:left w:val="single" w:color="cccccc" w:sz="1" w:space="0"/>
              <w:bottom w:val="single" w:color="cccccc" w:sz="1" w:space="0"/>
              <w:right w:val="single" w:color="cccccc" w:sz="1" w:space="0"/>
            </w:tcBorders>
            <w:tcMar>
              <w:left w:w="100" w:type="dxa"/>
              <w:top w:w="60" w:type="dxa"/>
              <w:right w:w="80" w:type="dxa"/>
              <w:bottom w:w="60" w:type="dxa"/>
            </w:tcMar>
            <w:tcW w:w="1000" w:type="dxa"/>
          </w:tcPr>
          <w:p>
            <w:pPr>
              <w:pBdr/>
              <w:spacing/>
              <w:ind/>
              <w:rPr/>
            </w:pPr>
            <w:r>
              <w:rPr>
                <w:rFonts w:ascii="Arial" w:hAnsi="Arial" w:eastAsia="Arial" w:cs="Arial"/>
                <w:sz w:val="16"/>
                <w:szCs w:val="16"/>
              </w:rPr>
              <w:t xml:space="preserve">Legal / CISO</w:t>
            </w:r>
            <w:r/>
          </w:p>
        </w:tc>
        <w:tc>
          <w:tcPr>
            <w:shd w:val="clear" w:color="auto" w:fill="ffffff"/>
            <w:tcBorders>
              <w:top w:val="single" w:color="cccccc" w:sz="1" w:space="0"/>
              <w:left w:val="single" w:color="cccccc" w:sz="1" w:space="0"/>
              <w:bottom w:val="single" w:color="cccccc" w:sz="1" w:space="0"/>
              <w:right w:val="single" w:color="cccccc" w:sz="1" w:space="0"/>
            </w:tcBorders>
            <w:tcMar>
              <w:left w:w="100" w:type="dxa"/>
              <w:top w:w="60" w:type="dxa"/>
              <w:right w:w="80" w:type="dxa"/>
              <w:bottom w:w="60" w:type="dxa"/>
            </w:tcMar>
            <w:tcW w:w="1500" w:type="dxa"/>
          </w:tcPr>
          <w:p>
            <w:pPr>
              <w:pBdr/>
              <w:spacing/>
              <w:ind/>
              <w:rPr/>
            </w:pPr>
            <w:r>
              <w:rPr>
                <w:rFonts w:ascii="Arial" w:hAnsi="Arial" w:eastAsia="Arial" w:cs="Arial"/>
                <w:sz w:val="16"/>
                <w:szCs w:val="16"/>
              </w:rPr>
              <w:t xml:space="preserve">Supplier register — contract IS clause confirmation</w:t>
            </w:r>
            <w:r/>
          </w:p>
        </w:tc>
        <w:tc>
          <w:tcPr>
            <w:shd w:val="clear" w:color="auto" w:fill="ffffff"/>
            <w:tcBorders>
              <w:top w:val="single" w:color="cccccc" w:sz="1" w:space="0"/>
              <w:left w:val="single" w:color="cccccc" w:sz="1" w:space="0"/>
              <w:bottom w:val="single" w:color="cccccc" w:sz="1" w:space="0"/>
              <w:right w:val="single" w:color="cccccc" w:sz="1" w:space="0"/>
            </w:tcBorders>
            <w:tcMar>
              <w:left w:w="100" w:type="dxa"/>
              <w:top w:w="60" w:type="dxa"/>
              <w:right w:w="80" w:type="dxa"/>
              <w:bottom w:w="60" w:type="dxa"/>
            </w:tcMar>
            <w:tcW w:w="1000" w:type="dxa"/>
          </w:tcPr>
          <w:p>
            <w:pPr>
              <w:pBdr/>
              <w:spacing/>
              <w:ind/>
              <w:rPr/>
            </w:pPr>
            <w:r>
              <w:rPr>
                <w:rFonts w:ascii="Arial" w:hAnsi="Arial" w:eastAsia="Arial" w:cs="Arial"/>
                <w:sz w:val="16"/>
                <w:szCs w:val="16"/>
              </w:rPr>
              <w:t xml:space="preserve">Legal time, supplier engagement</w:t>
            </w:r>
            <w:r/>
          </w:p>
        </w:tc>
        <w:tc>
          <w:tcPr>
            <w:shd w:val="clear" w:color="auto" w:fill="ffffff"/>
            <w:tcBorders>
              <w:top w:val="single" w:color="cccccc" w:sz="1" w:space="0"/>
              <w:left w:val="single" w:color="cccccc" w:sz="1" w:space="0"/>
              <w:bottom w:val="single" w:color="cccccc" w:sz="1" w:space="0"/>
              <w:right w:val="single" w:color="cccccc" w:sz="1" w:space="0"/>
            </w:tcBorders>
            <w:tcMar>
              <w:left w:w="100" w:type="dxa"/>
              <w:top w:w="60" w:type="dxa"/>
              <w:right w:w="80" w:type="dxa"/>
              <w:bottom w:w="60" w:type="dxa"/>
            </w:tcMar>
            <w:tcW w:w="880" w:type="dxa"/>
          </w:tcPr>
          <w:p>
            <w:pPr>
              <w:pBdr/>
              <w:spacing/>
              <w:ind/>
              <w:rPr/>
            </w:pPr>
            <w:r>
              <w:rPr>
                <w:rFonts w:ascii="Arial" w:hAnsi="Arial" w:eastAsia="Arial" w:cs="Arial"/>
                <w:sz w:val="16"/>
                <w:szCs w:val="16"/>
              </w:rPr>
              <w:t xml:space="preserve">Q3 2026</w:t>
            </w:r>
            <w:r/>
          </w:p>
        </w:tc>
        <w:tc>
          <w:tcPr>
            <w:shd w:val="clear" w:color="auto" w:fill="fff3cd"/>
            <w:tcBorders>
              <w:top w:val="single" w:color="cccccc" w:sz="1" w:space="0"/>
              <w:left w:val="single" w:color="cccccc" w:sz="1" w:space="0"/>
              <w:bottom w:val="single" w:color="cccccc" w:sz="1" w:space="0"/>
              <w:right w:val="single" w:color="cccccc" w:sz="1" w:space="0"/>
            </w:tcBorders>
            <w:tcMar>
              <w:left w:w="60" w:type="dxa"/>
              <w:top w:w="60" w:type="dxa"/>
              <w:right w:w="60" w:type="dxa"/>
              <w:bottom w:w="60" w:type="dxa"/>
            </w:tcMar>
            <w:tcW w:w="940" w:type="dxa"/>
          </w:tcPr>
          <w:p>
            <w:pPr>
              <w:pBdr/>
              <w:spacing/>
              <w:ind/>
              <w:jc w:val="center"/>
              <w:rPr/>
            </w:pPr>
            <w:r>
              <w:rPr>
                <w:rFonts w:ascii="Arial" w:hAnsi="Arial" w:eastAsia="Arial" w:cs="Arial"/>
                <w:b/>
                <w:bCs/>
                <w:color w:val="856404"/>
                <w:sz w:val="17"/>
                <w:szCs w:val="17"/>
              </w:rPr>
              <w:t xml:space="preserve">In Progress</w:t>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00" w:type="dxa"/>
              <w:top w:w="60" w:type="dxa"/>
              <w:right w:w="80" w:type="dxa"/>
              <w:bottom w:w="60" w:type="dxa"/>
            </w:tcMar>
            <w:tcW w:w="440" w:type="dxa"/>
          </w:tcPr>
          <w:p>
            <w:pPr>
              <w:pBdr/>
              <w:spacing/>
              <w:ind/>
              <w:rPr/>
            </w:pPr>
            <w:r>
              <w:rPr>
                <w:rFonts w:ascii="Arial" w:hAnsi="Arial" w:eastAsia="Arial" w:cs="Arial"/>
                <w:b/>
                <w:bCs/>
                <w:sz w:val="16"/>
                <w:szCs w:val="16"/>
              </w:rPr>
              <w:t xml:space="preserve">OBJ-012</w:t>
            </w:r>
            <w:r/>
          </w:p>
        </w:tc>
        <w:tc>
          <w:tcPr>
            <w:shd w:val="clear" w:color="auto" w:fill="f2f2f2"/>
            <w:tcBorders>
              <w:top w:val="single" w:color="cccccc" w:sz="1" w:space="0"/>
              <w:left w:val="single" w:color="cccccc" w:sz="1" w:space="0"/>
              <w:bottom w:val="single" w:color="cccccc" w:sz="1" w:space="0"/>
              <w:right w:val="single" w:color="cccccc" w:sz="1" w:space="0"/>
            </w:tcBorders>
            <w:tcMar>
              <w:left w:w="100" w:type="dxa"/>
              <w:top w:w="60" w:type="dxa"/>
              <w:right w:w="80" w:type="dxa"/>
              <w:bottom w:w="60" w:type="dxa"/>
            </w:tcMar>
            <w:tcW w:w="2700" w:type="dxa"/>
          </w:tcPr>
          <w:p>
            <w:pPr>
              <w:pBdr/>
              <w:spacing/>
              <w:ind/>
              <w:rPr/>
            </w:pPr>
            <w:r>
              <w:rPr>
                <w:rFonts w:ascii="Arial" w:hAnsi="Arial" w:eastAsia="Arial" w:cs="Arial"/>
                <w:sz w:val="16"/>
                <w:szCs w:val="16"/>
              </w:rPr>
              <w:t xml:space="preserve">Conduct annual penetration test and address all Critical/High findings within 30 days</w:t>
            </w:r>
            <w:r/>
          </w:p>
        </w:tc>
        <w:tc>
          <w:tcPr>
            <w:shd w:val="clear" w:color="auto" w:fill="f2f2f2"/>
            <w:tcBorders>
              <w:top w:val="single" w:color="cccccc" w:sz="1" w:space="0"/>
              <w:left w:val="single" w:color="cccccc" w:sz="1" w:space="0"/>
              <w:bottom w:val="single" w:color="cccccc" w:sz="1" w:space="0"/>
              <w:right w:val="single" w:color="cccccc" w:sz="1" w:space="0"/>
            </w:tcBorders>
            <w:tcMar>
              <w:left w:w="100" w:type="dxa"/>
              <w:top w:w="60" w:type="dxa"/>
              <w:right w:w="80" w:type="dxa"/>
              <w:bottom w:w="60" w:type="dxa"/>
            </w:tcMar>
            <w:tcW w:w="900" w:type="dxa"/>
          </w:tcPr>
          <w:p>
            <w:pPr>
              <w:pBdr/>
              <w:spacing/>
              <w:ind/>
              <w:rPr/>
            </w:pPr>
            <w:r>
              <w:rPr>
                <w:rFonts w:ascii="Arial" w:hAnsi="Arial" w:eastAsia="Arial" w:cs="Arial"/>
                <w:sz w:val="16"/>
                <w:szCs w:val="16"/>
              </w:rPr>
              <w:t xml:space="preserve">Annual pentest completed; 100% Critical/High findings remediated within 30 days</w:t>
            </w:r>
            <w:r/>
          </w:p>
        </w:tc>
        <w:tc>
          <w:tcPr>
            <w:shd w:val="clear" w:color="auto" w:fill="f2f2f2"/>
            <w:tcBorders>
              <w:top w:val="single" w:color="cccccc" w:sz="1" w:space="0"/>
              <w:left w:val="single" w:color="cccccc" w:sz="1" w:space="0"/>
              <w:bottom w:val="single" w:color="cccccc" w:sz="1" w:space="0"/>
              <w:right w:val="single" w:color="cccccc" w:sz="1" w:space="0"/>
            </w:tcBorders>
            <w:tcMar>
              <w:left w:w="100" w:type="dxa"/>
              <w:top w:w="60" w:type="dxa"/>
              <w:right w:w="80" w:type="dxa"/>
              <w:bottom w:w="60" w:type="dxa"/>
            </w:tcMar>
            <w:tcW w:w="1000" w:type="dxa"/>
          </w:tcPr>
          <w:p>
            <w:pPr>
              <w:pBdr/>
              <w:spacing/>
              <w:ind/>
              <w:rPr/>
            </w:pPr>
            <w:r>
              <w:rPr>
                <w:rFonts w:ascii="Arial" w:hAnsi="Arial" w:eastAsia="Arial" w:cs="Arial"/>
                <w:sz w:val="16"/>
                <w:szCs w:val="16"/>
              </w:rPr>
              <w:t xml:space="preserve">IT Manager</w:t>
            </w:r>
            <w:r/>
          </w:p>
        </w:tc>
        <w:tc>
          <w:tcPr>
            <w:shd w:val="clear" w:color="auto" w:fill="f2f2f2"/>
            <w:tcBorders>
              <w:top w:val="single" w:color="cccccc" w:sz="1" w:space="0"/>
              <w:left w:val="single" w:color="cccccc" w:sz="1" w:space="0"/>
              <w:bottom w:val="single" w:color="cccccc" w:sz="1" w:space="0"/>
              <w:right w:val="single" w:color="cccccc" w:sz="1" w:space="0"/>
            </w:tcBorders>
            <w:tcMar>
              <w:left w:w="100" w:type="dxa"/>
              <w:top w:w="60" w:type="dxa"/>
              <w:right w:w="80" w:type="dxa"/>
              <w:bottom w:w="60" w:type="dxa"/>
            </w:tcMar>
            <w:tcW w:w="1500" w:type="dxa"/>
          </w:tcPr>
          <w:p>
            <w:pPr>
              <w:pBdr/>
              <w:spacing/>
              <w:ind/>
              <w:rPr/>
            </w:pPr>
            <w:r>
              <w:rPr>
                <w:rFonts w:ascii="Arial" w:hAnsi="Arial" w:eastAsia="Arial" w:cs="Arial"/>
                <w:sz w:val="16"/>
                <w:szCs w:val="16"/>
              </w:rPr>
              <w:t xml:space="preserve">Penetration test report + remediation evidence</w:t>
            </w:r>
            <w:r/>
          </w:p>
        </w:tc>
        <w:tc>
          <w:tcPr>
            <w:shd w:val="clear" w:color="auto" w:fill="f2f2f2"/>
            <w:tcBorders>
              <w:top w:val="single" w:color="cccccc" w:sz="1" w:space="0"/>
              <w:left w:val="single" w:color="cccccc" w:sz="1" w:space="0"/>
              <w:bottom w:val="single" w:color="cccccc" w:sz="1" w:space="0"/>
              <w:right w:val="single" w:color="cccccc" w:sz="1" w:space="0"/>
            </w:tcBorders>
            <w:tcMar>
              <w:left w:w="100" w:type="dxa"/>
              <w:top w:w="60" w:type="dxa"/>
              <w:right w:w="80" w:type="dxa"/>
              <w:bottom w:w="60" w:type="dxa"/>
            </w:tcMar>
            <w:tcW w:w="1000" w:type="dxa"/>
          </w:tcPr>
          <w:p>
            <w:pPr>
              <w:pBdr/>
              <w:spacing/>
              <w:ind/>
              <w:rPr/>
            </w:pPr>
            <w:r>
              <w:rPr>
                <w:rFonts w:ascii="Arial" w:hAnsi="Arial" w:eastAsia="Arial" w:cs="Arial"/>
                <w:sz w:val="16"/>
                <w:szCs w:val="16"/>
              </w:rPr>
              <w:t xml:space="preserve">Penetration testing budget (~$5,000–15,000/year)</w:t>
            </w:r>
            <w:r/>
          </w:p>
        </w:tc>
        <w:tc>
          <w:tcPr>
            <w:shd w:val="clear" w:color="auto" w:fill="f2f2f2"/>
            <w:tcBorders>
              <w:top w:val="single" w:color="cccccc" w:sz="1" w:space="0"/>
              <w:left w:val="single" w:color="cccccc" w:sz="1" w:space="0"/>
              <w:bottom w:val="single" w:color="cccccc" w:sz="1" w:space="0"/>
              <w:right w:val="single" w:color="cccccc" w:sz="1" w:space="0"/>
            </w:tcBorders>
            <w:tcMar>
              <w:left w:w="100" w:type="dxa"/>
              <w:top w:w="60" w:type="dxa"/>
              <w:right w:w="80" w:type="dxa"/>
              <w:bottom w:w="60" w:type="dxa"/>
            </w:tcMar>
            <w:tcW w:w="880" w:type="dxa"/>
          </w:tcPr>
          <w:p>
            <w:pPr>
              <w:pBdr/>
              <w:spacing/>
              <w:ind/>
              <w:rPr/>
            </w:pPr>
            <w:r>
              <w:rPr>
                <w:rFonts w:ascii="Arial" w:hAnsi="Arial" w:eastAsia="Arial" w:cs="Arial"/>
                <w:sz w:val="16"/>
                <w:szCs w:val="16"/>
              </w:rPr>
              <w:t xml:space="preserve">Q3 2026</w:t>
            </w:r>
            <w:r/>
          </w:p>
        </w:tc>
        <w:tc>
          <w:tcPr>
            <w:shd w:val="clear" w:color="auto" w:fill="e6f1fb"/>
            <w:tcBorders>
              <w:top w:val="single" w:color="cccccc" w:sz="1" w:space="0"/>
              <w:left w:val="single" w:color="cccccc" w:sz="1" w:space="0"/>
              <w:bottom w:val="single" w:color="cccccc" w:sz="1" w:space="0"/>
              <w:right w:val="single" w:color="cccccc" w:sz="1" w:space="0"/>
            </w:tcBorders>
            <w:tcMar>
              <w:left w:w="60" w:type="dxa"/>
              <w:top w:w="60" w:type="dxa"/>
              <w:right w:w="60" w:type="dxa"/>
              <w:bottom w:w="60" w:type="dxa"/>
            </w:tcMar>
            <w:tcW w:w="940" w:type="dxa"/>
          </w:tcPr>
          <w:p>
            <w:pPr>
              <w:pBdr/>
              <w:spacing/>
              <w:ind/>
              <w:jc w:val="center"/>
              <w:rPr/>
            </w:pPr>
            <w:r>
              <w:rPr>
                <w:rFonts w:ascii="Arial" w:hAnsi="Arial" w:eastAsia="Arial" w:cs="Arial"/>
                <w:b/>
                <w:bCs/>
                <w:color w:val="0c447c"/>
                <w:sz w:val="17"/>
                <w:szCs w:val="17"/>
              </w:rPr>
              <w:t xml:space="preserve">Planned</w:t>
            </w:r>
            <w:r/>
          </w:p>
        </w:tc>
      </w:tr>
    </w:tbl>
    <w:p>
      <w:pPr>
        <w:pBdr/>
        <w:spacing w:after="180" w:before="0"/>
        <w:ind/>
        <w:rPr/>
      </w:pPr>
      <w:r/>
      <w:r/>
    </w:p>
    <w:p>
      <w:pPr>
        <w:pStyle w:val="735"/>
        <w:pBdr/>
        <w:spacing w:after="130" w:before="260"/>
        <w:ind/>
        <w:rPr/>
      </w:pPr>
      <w:r>
        <w:rPr>
          <w:rFonts w:ascii="Arial" w:hAnsi="Arial" w:eastAsia="Arial" w:cs="Arial"/>
          <w:b/>
          <w:bCs/>
          <w:color w:val="1f3864"/>
          <w:sz w:val="28"/>
          <w:szCs w:val="28"/>
        </w:rPr>
        <w:t xml:space="preserve">4. Review and Update</w:t>
      </w:r>
      <w:r/>
    </w:p>
    <w:p>
      <w:pPr>
        <w:pBdr/>
        <w:spacing w:after="60" w:before="60"/>
        <w:ind/>
        <w:rPr/>
      </w:pPr>
      <w:r>
        <w:rPr>
          <w:rFonts w:ascii="Arial" w:hAnsi="Arial" w:eastAsia="Arial" w:cs="Arial"/>
          <w:sz w:val="22"/>
          <w:szCs w:val="22"/>
        </w:rPr>
        <w:t xml:space="preserve">IS objectives shall be reviewed at minimum quarterly (as part of IS Forum meetings) and formally at the annual Management Review (Clause 9.3). Any changes to objectives require CISO approval and must be communicated to relevant stakeholders.</w:t>
      </w:r>
      <w:r/>
    </w:p>
    <w:p>
      <w:pPr>
        <w:pBdr/>
        <w:spacing w:after="90" w:before="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800"/>
        <w:gridCol w:w="6560"/>
      </w:tblGrid>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70" w:type="dxa"/>
              <w:right w:w="120" w:type="dxa"/>
              <w:bottom w:w="70" w:type="dxa"/>
            </w:tcMar>
            <w:tcW w:w="2800" w:type="dxa"/>
          </w:tcPr>
          <w:p>
            <w:pPr>
              <w:pBdr/>
              <w:spacing/>
              <w:ind/>
              <w:rPr/>
            </w:pPr>
            <w:r>
              <w:rPr>
                <w:rFonts w:ascii="Arial" w:hAnsi="Arial" w:eastAsia="Arial" w:cs="Arial"/>
                <w:b/>
                <w:bCs/>
                <w:sz w:val="20"/>
                <w:szCs w:val="20"/>
              </w:rPr>
              <w:t xml:space="preserve">Approved By</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70" w:type="dxa"/>
              <w:right w:w="120" w:type="dxa"/>
              <w:bottom w:w="70" w:type="dxa"/>
            </w:tcMar>
            <w:tcW w:w="6560" w:type="dxa"/>
          </w:tcPr>
          <w:p>
            <w:pPr>
              <w:pBdr/>
              <w:spacing/>
              <w:ind/>
              <w:rPr/>
            </w:pPr>
            <w:r>
              <w:rPr>
                <w:rFonts w:ascii="Arial" w:hAnsi="Arial" w:eastAsia="Arial" w:cs="Arial"/>
                <w:sz w:val="20"/>
                <w:szCs w:val="20"/>
              </w:rPr>
              <w:t xml:space="preserve">CISO: ___________________________   /   5 May 2026</w:t>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70" w:type="dxa"/>
              <w:right w:w="120" w:type="dxa"/>
              <w:bottom w:w="70" w:type="dxa"/>
            </w:tcMar>
            <w:tcW w:w="2800" w:type="dxa"/>
          </w:tcPr>
          <w:p>
            <w:pPr>
              <w:pBdr/>
              <w:spacing/>
              <w:ind/>
              <w:rPr/>
            </w:pPr>
            <w:r>
              <w:rPr>
                <w:rFonts w:ascii="Arial" w:hAnsi="Arial" w:eastAsia="Arial" w:cs="Arial"/>
                <w:b/>
                <w:bCs/>
                <w:sz w:val="20"/>
                <w:szCs w:val="20"/>
              </w:rPr>
              <w:t xml:space="preserve">Next Review</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70" w:type="dxa"/>
              <w:right w:w="120" w:type="dxa"/>
              <w:bottom w:w="70" w:type="dxa"/>
            </w:tcMar>
            <w:tcW w:w="6560" w:type="dxa"/>
          </w:tcPr>
          <w:p>
            <w:pPr>
              <w:pBdr/>
              <w:spacing/>
              <w:ind/>
              <w:rPr/>
            </w:pPr>
            <w:r>
              <w:rPr>
                <w:rFonts w:ascii="Arial" w:hAnsi="Arial" w:eastAsia="Arial" w:cs="Arial"/>
                <w:sz w:val="20"/>
                <w:szCs w:val="20"/>
              </w:rPr>
              <w:t xml:space="preserve">5 May 2027 or upon significant change to risks or strategy</w:t>
            </w:r>
            <w:r/>
          </w:p>
        </w:tc>
      </w:tr>
    </w:tbl>
    <w:sectPr>
      <w:footerReference w:type="default" r:id="rId9"/>
      <w:footnotePr/>
      <w:endnotePr/>
      <w:type w:val="nextPage"/>
      <w:pgSz w:h="12240" w:orient="landscape" w:w="15840"/>
      <w:pgMar w:top="1200" w:right="1000" w:bottom="1200" w:left="100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top w:val="single" w:color="2e75b6" w:sz="4" w:space="0"/>
      </w:pBdr>
      <w:spacing w:before="80"/>
      <w:ind/>
      <w:rPr/>
    </w:pPr>
    <w:r>
      <w:rPr>
        <w:rFonts w:ascii="Arial" w:hAnsi="Arial" w:eastAsia="Arial" w:cs="Arial"/>
        <w:color w:val="777777"/>
        <w:sz w:val="17"/>
        <w:szCs w:val="17"/>
      </w:rPr>
      <w:t xml:space="preserve">ISMS-OBJ-001  |  IS Objectives Register  |  [Organization Name]  |  INTERNAL  |  Page </w:t>
    </w:r>
    <w:r>
      <w:rPr>
        <w:rFonts w:ascii="Arial" w:hAnsi="Arial" w:eastAsia="Arial" w:cs="Arial"/>
        <w:color w:val="777777"/>
        <w:sz w:val="17"/>
        <w:szCs w:val="17"/>
      </w:rPr>
      <w:fldChar w:fldCharType="begin"/>
      <w:instrText xml:space="preserve">PAGE</w:instrText>
      <w:fldChar w:fldCharType="separate"/>
      <w:fldChar w:fldCharType="end"/>
    </w:r>
    <w:r>
      <w:rPr>
        <w:rFonts w:ascii="Arial" w:hAnsi="Arial" w:eastAsia="Arial" w:cs="Arial"/>
        <w:color w:val="777777"/>
        <w:sz w:val="17"/>
        <w:szCs w:val="17"/>
      </w:rPr>
      <w:t xml:space="preserve"> of </w:t>
    </w:r>
    <w:r>
      <w:rPr>
        <w:rFonts w:ascii="Arial" w:hAnsi="Arial" w:eastAsia="Arial" w:cs="Arial"/>
        <w:color w:val="777777"/>
        <w:sz w:val="17"/>
        <w:szCs w:val="17"/>
      </w:rPr>
      <w:fldChar w:fldCharType="begin"/>
      <w:instrText xml:space="preserve">NUMPAGES</w:instrText>
      <w:fldChar w:fldCharType="separate"/>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2"/>
        <w:szCs w:val="22"/>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35"/>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36"/>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22"/>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23"/>
    <w:uiPriority w:val="9"/>
    <w:pPr>
      <w:pBdr/>
      <w:spacing/>
      <w:ind/>
    </w:pPr>
    <w:rPr>
      <w:rFonts w:ascii="Arial" w:hAnsi="Arial" w:eastAsia="Arial" w:cs="Arial"/>
      <w:i/>
      <w:iCs/>
      <w:color w:val="0f4761" w:themeColor="accent1" w:themeShade="BF"/>
    </w:rPr>
  </w:style>
  <w:style w:type="character" w:styleId="154">
    <w:name w:val="Heading 5 Char"/>
    <w:basedOn w:val="148"/>
    <w:link w:val="724"/>
    <w:uiPriority w:val="9"/>
    <w:pPr>
      <w:pBdr/>
      <w:spacing/>
      <w:ind/>
    </w:pPr>
    <w:rPr>
      <w:rFonts w:ascii="Arial" w:hAnsi="Arial" w:eastAsia="Arial" w:cs="Arial"/>
      <w:color w:val="0f4761" w:themeColor="accent1" w:themeShade="BF"/>
    </w:rPr>
  </w:style>
  <w:style w:type="character" w:styleId="155">
    <w:name w:val="Heading 6 Char"/>
    <w:basedOn w:val="148"/>
    <w:link w:val="725"/>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19"/>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719">
    <w:name w:val="Title"/>
    <w:qFormat/>
    <w:pPr>
      <w:pBdr/>
      <w:spacing/>
      <w:ind/>
    </w:pPr>
    <w:rPr>
      <w:sz w:val="56"/>
      <w:szCs w:val="56"/>
    </w:rPr>
  </w:style>
  <w:style w:type="paragraph" w:styleId="722">
    <w:name w:val="Heading 3"/>
    <w:qFormat/>
    <w:pPr>
      <w:pBdr/>
      <w:spacing/>
      <w:ind/>
    </w:pPr>
    <w:rPr>
      <w:color w:val="1f4d78"/>
      <w:sz w:val="24"/>
      <w:szCs w:val="24"/>
    </w:rPr>
  </w:style>
  <w:style w:type="paragraph" w:styleId="723">
    <w:name w:val="Heading 4"/>
    <w:qFormat/>
    <w:pPr>
      <w:pBdr/>
      <w:spacing/>
      <w:ind/>
    </w:pPr>
    <w:rPr>
      <w:i/>
      <w:iCs/>
      <w:color w:val="2e74b5"/>
    </w:rPr>
  </w:style>
  <w:style w:type="paragraph" w:styleId="724">
    <w:name w:val="Heading 5"/>
    <w:qFormat/>
    <w:pPr>
      <w:pBdr/>
      <w:spacing/>
      <w:ind/>
    </w:pPr>
    <w:rPr>
      <w:color w:val="2e74b5"/>
    </w:rPr>
  </w:style>
  <w:style w:type="paragraph" w:styleId="725">
    <w:name w:val="Heading 6"/>
    <w:qFormat/>
    <w:pPr>
      <w:pBdr/>
      <w:spacing/>
      <w:ind/>
    </w:pPr>
    <w:rPr>
      <w:color w:val="1f4d78"/>
    </w:rPr>
  </w:style>
  <w:style w:type="paragraph" w:styleId="726">
    <w:name w:val="Strong"/>
    <w:qFormat/>
    <w:pPr>
      <w:pBdr/>
      <w:spacing/>
      <w:ind/>
    </w:pPr>
    <w:rPr>
      <w:b/>
      <w:bCs/>
    </w:rPr>
  </w:style>
  <w:style w:type="paragraph" w:styleId="727">
    <w:name w:val="List Paragraph"/>
    <w:qFormat/>
    <w:pPr>
      <w:pBdr/>
      <w:spacing/>
      <w:ind/>
    </w:pPr>
  </w:style>
  <w:style w:type="character" w:styleId="728">
    <w:name w:val="Hyperlink"/>
    <w:uiPriority w:val="99"/>
    <w:unhideWhenUsed/>
    <w:pPr>
      <w:pBdr/>
      <w:spacing/>
      <w:ind/>
    </w:pPr>
    <w:rPr>
      <w:color w:val="0563c1"/>
      <w:u w:val="single"/>
    </w:rPr>
  </w:style>
  <w:style w:type="character" w:styleId="729">
    <w:name w:val="footnote reference"/>
    <w:uiPriority w:val="99"/>
    <w:semiHidden/>
    <w:unhideWhenUsed/>
    <w:pPr>
      <w:pBdr/>
      <w:spacing/>
      <w:ind/>
    </w:pPr>
    <w:rPr>
      <w:vertAlign w:val="superscript"/>
    </w:rPr>
  </w:style>
  <w:style w:type="paragraph" w:styleId="730">
    <w:name w:val="footnote text"/>
    <w:link w:val="731"/>
    <w:uiPriority w:val="99"/>
    <w:semiHidden/>
    <w:unhideWhenUsed/>
    <w:pPr>
      <w:pBdr/>
      <w:spacing w:after="0" w:line="240" w:lineRule="auto"/>
      <w:ind/>
    </w:pPr>
    <w:rPr>
      <w:sz w:val="20"/>
      <w:szCs w:val="20"/>
    </w:rPr>
  </w:style>
  <w:style w:type="character" w:styleId="731">
    <w:name w:val="Footnote Text Char"/>
    <w:link w:val="730"/>
    <w:uiPriority w:val="99"/>
    <w:semiHidden/>
    <w:unhideWhenUsed/>
    <w:pPr>
      <w:pBdr/>
      <w:spacing/>
      <w:ind/>
    </w:pPr>
    <w:rPr>
      <w:sz w:val="20"/>
      <w:szCs w:val="20"/>
    </w:rPr>
  </w:style>
  <w:style w:type="character" w:styleId="732">
    <w:name w:val="endnote reference"/>
    <w:uiPriority w:val="99"/>
    <w:semiHidden/>
    <w:unhideWhenUsed/>
    <w:pPr>
      <w:pBdr/>
      <w:spacing/>
      <w:ind/>
    </w:pPr>
    <w:rPr>
      <w:vertAlign w:val="superscript"/>
    </w:rPr>
  </w:style>
  <w:style w:type="paragraph" w:styleId="733">
    <w:name w:val="endnote text"/>
    <w:link w:val="734"/>
    <w:uiPriority w:val="99"/>
    <w:semiHidden/>
    <w:unhideWhenUsed/>
    <w:pPr>
      <w:pBdr/>
      <w:spacing w:after="0" w:line="240" w:lineRule="auto"/>
      <w:ind/>
    </w:pPr>
    <w:rPr>
      <w:sz w:val="20"/>
      <w:szCs w:val="20"/>
    </w:rPr>
  </w:style>
  <w:style w:type="character" w:styleId="734">
    <w:name w:val="Endnote Text Char"/>
    <w:link w:val="733"/>
    <w:uiPriority w:val="99"/>
    <w:semiHidden/>
    <w:unhideWhenUsed/>
    <w:pPr>
      <w:pBdr/>
      <w:spacing/>
      <w:ind/>
    </w:pPr>
    <w:rPr>
      <w:sz w:val="20"/>
      <w:szCs w:val="20"/>
    </w:rPr>
  </w:style>
  <w:style w:type="paragraph" w:styleId="735">
    <w:name w:val="Heading 1"/>
    <w:qFormat/>
    <w:pPr>
      <w:pBdr/>
      <w:spacing w:after="130" w:before="260"/>
      <w:ind/>
      <w:outlineLvl w:val="0"/>
    </w:pPr>
    <w:rPr>
      <w:rFonts w:ascii="Arial" w:hAnsi="Arial" w:eastAsia="Arial" w:cs="Arial"/>
      <w:b/>
      <w:bCs/>
      <w:color w:val="1f3864"/>
      <w:sz w:val="28"/>
      <w:szCs w:val="28"/>
    </w:rPr>
  </w:style>
  <w:style w:type="paragraph" w:styleId="736">
    <w:name w:val="Heading 2"/>
    <w:qFormat/>
    <w:pPr>
      <w:pBdr/>
      <w:spacing w:after="90" w:before="180"/>
      <w:ind/>
      <w:outlineLvl w:val="1"/>
    </w:pPr>
    <w:rPr>
      <w:rFonts w:ascii="Arial" w:hAnsi="Arial" w:eastAsia="Arial" w:cs="Arial"/>
      <w:b/>
      <w:bCs/>
      <w:color w:val="2e75b6"/>
      <w:sz w:val="24"/>
      <w:szCs w:val="24"/>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ONLYOFFICE/9.3.1.8</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2</cp:revision>
  <dcterms:created xsi:type="dcterms:W3CDTF">2026-05-07T05:22:13Z</dcterms:created>
  <dcterms:modified xsi:type="dcterms:W3CDTF">2026-05-07T11:31:36Z</dcterms:modified>
</cp:coreProperties>
</file>