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0" w:before="0"/>
      </w:pPr>
      <w:r>
        <w:t xml:space="preserve"/>
      </w:r>
    </w:p>
    <w:p>
      <w:pPr>
        <w:spacing w:after="120" w:before="0"/>
        <w:jc w:val="center"/>
      </w:pPr>
      <w:r>
        <w:rPr>
          <w:rFonts w:ascii="Arial" w:cs="Arial" w:eastAsia="Arial" w:hAnsi="Arial"/>
          <w:b/>
          <w:bCs/>
          <w:color w:val="1F3864"/>
          <w:sz w:val="28"/>
          <w:szCs w:val="28"/>
        </w:rPr>
        <w:t xml:space="preserve">INFORMATION SECURITY MANAGEMENT SYSTEM</w:t>
      </w:r>
    </w:p>
    <w:p>
      <w:pPr>
        <w:spacing w:after="300" w:before="0"/>
        <w:jc w:val="center"/>
      </w:pPr>
      <w:r>
        <w:rPr>
          <w:rFonts w:ascii="Arial" w:cs="Arial" w:eastAsia="Arial" w:hAnsi="Arial"/>
          <w:b/>
          <w:bCs/>
          <w:color w:val="2E75B6"/>
          <w:sz w:val="48"/>
          <w:szCs w:val="48"/>
        </w:rPr>
        <w:t xml:space="preserve">Nonconformities &amp;</w:t>
      </w:r>
    </w:p>
    <w:p>
      <w:pPr>
        <w:spacing w:after="300" w:before="0"/>
        <w:jc w:val="center"/>
      </w:pPr>
      <w:r>
        <w:rPr>
          <w:rFonts w:ascii="Arial" w:cs="Arial" w:eastAsia="Arial" w:hAnsi="Arial"/>
          <w:b/>
          <w:bCs/>
          <w:color w:val="1F3864"/>
          <w:sz w:val="40"/>
          <w:szCs w:val="40"/>
        </w:rPr>
        <w:t xml:space="preserve">Corrective Actions Log</w:t>
      </w:r>
    </w:p>
    <w:p>
      <w:pPr>
        <w:pBdr>
          <w:bottom w:val="single" w:color="2E75B6" w:sz="6"/>
        </w:pBdr>
        <w:spacing w:after="400" w:before="0"/>
        <w:jc w:val="center"/>
      </w:pPr>
      <w:r>
        <w:t xml:space="preserve"/>
      </w:r>
    </w:p>
    <w:p>
      <w:pPr>
        <w:spacing w:after="180" w:before="0"/>
      </w:pPr>
      <w:r>
        <w:t xml:space="preserve"/>
      </w:r>
    </w:p>
    <w:p>
      <w:pPr>
        <w:spacing w:after="100" w:before="0"/>
        <w:jc w:val="center"/>
      </w:pPr>
      <w:r>
        <w:rPr>
          <w:rFonts w:ascii="Arial" w:cs="Arial" w:eastAsia="Arial" w:hAnsi="Arial"/>
          <w:b/>
          <w:bCs/>
          <w:color w:val="1F3864"/>
          <w:sz w:val="28"/>
          <w:szCs w:val="28"/>
        </w:rPr>
        <w:t xml:space="preserve">[Organization Name] Co., Ltd.</w:t>
      </w:r>
    </w:p>
    <w:p>
      <w:pPr>
        <w:spacing w:after="100" w:before="0"/>
        <w:jc w:val="center"/>
      </w:pPr>
      <w:r>
        <w:rPr>
          <w:rFonts w:ascii="Arial" w:cs="Arial" w:eastAsia="Arial" w:hAnsi="Arial"/>
          <w:color w:val="555555"/>
          <w:sz w:val="22"/>
          <w:szCs w:val="22"/>
        </w:rPr>
        <w:t xml:space="preserve">ISMS-NCR-001  |  Version 1.0  |  6 May 2026</w:t>
      </w:r>
    </w:p>
    <w:p>
      <w:pPr>
        <w:spacing w:after="80" w:before="0"/>
        <w:jc w:val="center"/>
      </w:pPr>
      <w:r>
        <w:rPr>
          <w:rFonts w:ascii="Arial" w:cs="Arial" w:eastAsia="Arial" w:hAnsi="Arial"/>
          <w:color w:val="777777"/>
          <w:sz w:val="20"/>
          <w:szCs w:val="20"/>
        </w:rPr>
        <w:t xml:space="preserve">ISO/IEC 27001:2022 — Clause 10.1 | 10.2</w:t>
      </w:r>
    </w:p>
    <w:p>
      <w:pPr>
        <w:pageBreakBefore/>
      </w:pPr>
      <w:r>
        <w:t xml:space="preserve"/>
      </w:r>
    </w:p>
    <w:p>
      <w:pPr>
        <w:pStyle w:val="Heading1"/>
        <w:spacing w:after="130" w:before="260"/>
      </w:pPr>
      <w:r>
        <w:rPr>
          <w:rFonts w:ascii="Arial" w:cs="Arial" w:eastAsia="Arial" w:hAnsi="Arial"/>
          <w:b/>
          <w:bCs/>
          <w:color w:val="1F3864"/>
          <w:sz w:val="28"/>
          <w:szCs w:val="28"/>
        </w:rPr>
        <w:t xml:space="preserve">1. Document Control</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Nonconformities &amp; Corrective Actions Log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ISMS-NCR-001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Active — Living Document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 Manager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Date of Issue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 May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Next Review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Reviewed at every IS Forum meeting and Management Review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ISO 27001 Clauses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Clause 10.1 — Nonconformity and corrective action | Clause 10.2 — Continual improvement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ISMS-IAP-001 | ISMS-MRV-001 | ISMS-MON-001</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2. Purpose &amp; Process</w:t>
      </w:r>
    </w:p>
    <w:p>
      <w:pPr>
        <w:spacing w:after="60" w:before="60"/>
      </w:pPr>
      <w:r>
        <w:rPr>
          <w:rFonts w:ascii="Arial" w:cs="Arial" w:eastAsia="Arial" w:hAnsi="Arial"/>
          <w:sz w:val="22"/>
          <w:szCs w:val="22"/>
        </w:rPr>
        <w:t xml:space="preserve">This log records all nonconformities (NCs) and observations for improvement (OFIs) identified through internal audits, management reviews, incident analysis, or other ISMS activities. It tracks corrective actions from identification to closure in accordance with ISO/IEC 27001:2022 Clause 10.1.</w:t>
      </w:r>
    </w:p>
    <w:p>
      <w:pPr>
        <w:spacing w:after="90" w:before="0"/>
      </w:pPr>
      <w:r>
        <w:t xml:space="preserve"/>
      </w:r>
    </w:p>
    <w:p>
      <w:pPr>
        <w:spacing w:after="60" w:before="60"/>
      </w:pPr>
      <w:r>
        <w:rPr>
          <w:rFonts w:ascii="Arial" w:cs="Arial" w:eastAsia="Arial" w:hAnsi="Arial"/>
          <w:sz w:val="22"/>
          <w:szCs w:val="22"/>
        </w:rPr>
        <w:t xml:space="preserve">Clause 10.1 requires the Organization to: (a) react to NCs; (b) evaluate the need for corrective action; (c) implement corrective action; (d) review effectiveness; and (e) update ISMS if necessary.</w:t>
      </w:r>
    </w:p>
    <w:p>
      <w:pPr>
        <w:spacing w:after="90" w:before="0"/>
      </w:pPr>
      <w:r>
        <w:t xml:space="preserve"/>
      </w:r>
    </w:p>
    <w:p>
      <w:pPr>
        <w:pStyle w:val="Heading2"/>
        <w:spacing w:after="90" w:before="180"/>
      </w:pPr>
      <w:r>
        <w:rPr>
          <w:rFonts w:ascii="Arial" w:cs="Arial" w:eastAsia="Arial" w:hAnsi="Arial"/>
          <w:b/>
          <w:bCs/>
          <w:color w:val="2E75B6"/>
          <w:sz w:val="24"/>
          <w:szCs w:val="24"/>
        </w:rPr>
        <w:t xml:space="preserve">2.1 NC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Type</w:t>
            </w:r>
          </w:p>
        </w:tc>
        <w:tc>
          <w:tcPr>
            <w:tcW w:type="dxa" w:w="28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Definition</w:t>
            </w:r>
          </w:p>
        </w:tc>
        <w:tc>
          <w:tcPr>
            <w:tcW w:type="dxa" w:w="25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Certification Impact</w:t>
            </w:r>
          </w:p>
        </w:tc>
        <w:tc>
          <w:tcPr>
            <w:tcW w:type="dxa" w:w="26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Response Time</w:t>
            </w:r>
          </w:p>
        </w:tc>
      </w:tr>
      <w:tr>
        <w:tc>
          <w:tcPr>
            <w:tcW w:type="dxa" w:w="1400"/>
            <w:tcBorders>
              <w:top w:val="single" w:color="CCCCCC" w:sz="1"/>
              <w:left w:val="single" w:color="CCCCCC" w:sz="1"/>
              <w:bottom w:val="single" w:color="CCCCCC" w:sz="1"/>
              <w:right w:val="single" w:color="CCCCCC" w:sz="1"/>
            </w:tcBorders>
            <w:shd w:fill="FAECE7" w:val="clear"/>
            <w:tcMar>
              <w:top w:type="dxa" w:w="60"/>
              <w:left w:type="dxa" w:w="90"/>
              <w:bottom w:type="dxa" w:w="60"/>
              <w:right w:type="dxa" w:w="70"/>
            </w:tcMar>
          </w:tcPr>
          <w:p>
            <w:r>
              <w:rPr>
                <w:rFonts w:ascii="Arial" w:cs="Arial" w:eastAsia="Arial" w:hAnsi="Arial"/>
                <w:b/>
                <w:bCs/>
                <w:color w:val="993C1D"/>
                <w:sz w:val="18"/>
                <w:szCs w:val="18"/>
              </w:rPr>
              <w:t xml:space="preserve">Major NC</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Failure to satisfy a requirement that is likely to result in the failure of the ISMS to achieve its intended outcomes. Systemic failure.</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Cannot be certified until closed</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14 days — immediate root cause &amp; action</w:t>
            </w:r>
          </w:p>
        </w:tc>
      </w:tr>
      <w:tr>
        <w:tc>
          <w:tcPr>
            <w:tcW w:type="dxa" w:w="1400"/>
            <w:tcBorders>
              <w:top w:val="single" w:color="CCCCCC" w:sz="1"/>
              <w:left w:val="single" w:color="CCCCCC" w:sz="1"/>
              <w:bottom w:val="single" w:color="CCCCCC" w:sz="1"/>
              <w:right w:val="single" w:color="CCCCCC" w:sz="1"/>
            </w:tcBorders>
            <w:shd w:fill="FFF3CD" w:val="clear"/>
            <w:tcMar>
              <w:top w:type="dxa" w:w="60"/>
              <w:left w:type="dxa" w:w="90"/>
              <w:bottom w:type="dxa" w:w="60"/>
              <w:right w:type="dxa" w:w="70"/>
            </w:tcMar>
          </w:tcPr>
          <w:p>
            <w:r>
              <w:rPr>
                <w:rFonts w:ascii="Arial" w:cs="Arial" w:eastAsia="Arial" w:hAnsi="Arial"/>
                <w:b/>
                <w:bCs/>
                <w:color w:val="856404"/>
                <w:sz w:val="18"/>
                <w:szCs w:val="18"/>
              </w:rPr>
              <w:t xml:space="preserve">Minor NC</w:t>
            </w:r>
          </w:p>
        </w:tc>
        <w:tc>
          <w:tcPr>
            <w:tcW w:type="dxa" w:w="2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Failure to satisfy a requirement, but not systemic. Isolated or limited in scope.</w:t>
            </w:r>
          </w:p>
        </w:tc>
        <w:tc>
          <w:tcPr>
            <w:tcW w:type="dxa" w:w="25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Corrective action required before Stage 2</w:t>
            </w:r>
          </w:p>
        </w:tc>
        <w:tc>
          <w:tcPr>
            <w:tcW w:type="dxa" w:w="2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30 days — root cause &amp; action plan</w:t>
            </w:r>
          </w:p>
        </w:tc>
      </w:tr>
      <w:tr>
        <w:tc>
          <w:tcPr>
            <w:tcW w:type="dxa" w:w="1400"/>
            <w:tcBorders>
              <w:top w:val="single" w:color="CCCCCC" w:sz="1"/>
              <w:left w:val="single" w:color="CCCCCC" w:sz="1"/>
              <w:bottom w:val="single" w:color="CCCCCC" w:sz="1"/>
              <w:right w:val="single" w:color="CCCCCC" w:sz="1"/>
            </w:tcBorders>
            <w:shd w:fill="E6F1FB" w:val="clear"/>
            <w:tcMar>
              <w:top w:type="dxa" w:w="60"/>
              <w:left w:type="dxa" w:w="90"/>
              <w:bottom w:type="dxa" w:w="60"/>
              <w:right w:type="dxa" w:w="70"/>
            </w:tcMar>
          </w:tcPr>
          <w:p>
            <w:r>
              <w:rPr>
                <w:rFonts w:ascii="Arial" w:cs="Arial" w:eastAsia="Arial" w:hAnsi="Arial"/>
                <w:b/>
                <w:bCs/>
                <w:color w:val="0C447C"/>
                <w:sz w:val="18"/>
                <w:szCs w:val="18"/>
              </w:rPr>
              <w:t xml:space="preserve">OFI</w:t>
            </w:r>
          </w:p>
        </w:tc>
        <w:tc>
          <w:tcPr>
            <w:tcW w:type="dxa" w:w="2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Observation for improvement — not a nonconformity. Opportunity to enhance ISMS effectiveness.</w:t>
            </w:r>
          </w:p>
        </w:tc>
        <w:tc>
          <w:tcPr>
            <w:tcW w:type="dxa" w:w="25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No certification impact</w:t>
            </w:r>
          </w:p>
        </w:tc>
        <w:tc>
          <w:tcPr>
            <w:tcW w:type="dxa" w:w="2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90 days — recommended improvement</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3. Nonconformity &amp; Corrective Action Register</w:t>
      </w:r>
    </w:p>
    <w:p>
      <w:pPr>
        <w:spacing w:after="60" w:before="60"/>
      </w:pPr>
      <w:r>
        <w:rPr>
          <w:rFonts w:ascii="Arial" w:cs="Arial" w:eastAsia="Arial" w:hAnsi="Arial"/>
          <w:sz w:val="22"/>
          <w:szCs w:val="22"/>
        </w:rPr>
        <w:t xml:space="preserve">The following NCs and OFIs were identified during the pre-certification readiness assessment (ISMS-IAP-001 Section 4) conducted on 6 May 2026:</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900"/>
        <w:gridCol w:w="1700"/>
        <w:gridCol w:w="1800"/>
        <w:gridCol w:w="800"/>
        <w:gridCol w:w="700"/>
        <w:gridCol w:w="7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NCR ID</w:t>
            </w:r>
          </w:p>
        </w:tc>
        <w:tc>
          <w:tcPr>
            <w:tcW w:type="dxa" w:w="7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Type</w:t>
            </w:r>
          </w:p>
        </w:tc>
        <w:tc>
          <w:tcPr>
            <w:tcW w:type="dxa" w:w="19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Nonconformity / Finding</w:t>
            </w:r>
          </w:p>
        </w:tc>
        <w:tc>
          <w:tcPr>
            <w:tcW w:type="dxa" w:w="17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Root Cause Analysis</w:t>
            </w:r>
          </w:p>
        </w:tc>
        <w:tc>
          <w:tcPr>
            <w:tcW w:type="dxa" w:w="18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Corrective Action</w:t>
            </w:r>
          </w:p>
        </w:tc>
        <w:tc>
          <w:tcPr>
            <w:tcW w:type="dxa" w:w="8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Owner</w:t>
            </w:r>
          </w:p>
        </w:tc>
        <w:tc>
          <w:tcPr>
            <w:tcW w:type="dxa" w:w="7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Due Date</w:t>
            </w:r>
          </w:p>
        </w:tc>
        <w:tc>
          <w:tcPr>
            <w:tcW w:type="dxa" w:w="7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NCR-001</w:t>
            </w:r>
          </w:p>
        </w:tc>
        <w:tc>
          <w:tcPr>
            <w:tcW w:type="dxa" w:w="7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5"/>
                <w:szCs w:val="15"/>
              </w:rPr>
              <w:t xml:space="preserve">Minor NC</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Asset inventory incomplete — approximately 80% coverage. Risk register may not cover all in-scope assets (RC-005).</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Asset discovery process not formally initiated. No asset discovery tooling deployed.</w:t>
            </w:r>
          </w:p>
        </w:tc>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1. Deploy network discovery scan to identify all assets
2. Complete asset inventory in ISMS-AST-001
3. Update risk register with newly discovered assets</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IT Manager</w:t>
            </w:r>
          </w:p>
        </w:tc>
        <w:tc>
          <w:tcPr>
            <w:tcW w:type="dxa" w:w="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30 Jun 2026</w:t>
            </w:r>
          </w:p>
        </w:tc>
        <w:tc>
          <w:tcPr>
            <w:tcW w:type="dxa" w:w="760"/>
            <w:tcBorders>
              <w:top w:val="single" w:color="CCCCCC" w:sz="1"/>
              <w:left w:val="single" w:color="CCCCCC" w:sz="1"/>
              <w:bottom w:val="single" w:color="CCCCCC" w:sz="1"/>
              <w:right w:val="single" w:color="CCCCCC" w:sz="1"/>
            </w:tcBorders>
            <w:shd w:fill="FAECE7" w:val="clear"/>
            <w:tcMar>
              <w:top w:type="dxa" w:w="55"/>
              <w:left w:type="dxa" w:w="60"/>
              <w:bottom w:type="dxa" w:w="55"/>
              <w:right w:type="dxa" w:w="60"/>
            </w:tcMar>
          </w:tcPr>
          <w:p>
            <w:pPr>
              <w:jc w:val="center"/>
            </w:pPr>
            <w:r>
              <w:rPr>
                <w:rFonts w:ascii="Arial" w:cs="Arial" w:eastAsia="Arial" w:hAnsi="Arial"/>
                <w:b/>
                <w:bCs/>
                <w:color w:val="993C1D"/>
                <w:sz w:val="17"/>
                <w:szCs w:val="17"/>
              </w:rPr>
              <w:t xml:space="preserve">Open</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NCR-002</w:t>
            </w:r>
          </w:p>
        </w:tc>
        <w:tc>
          <w:tcPr>
            <w:tcW w:type="dxa" w:w="7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5"/>
                <w:szCs w:val="15"/>
              </w:rPr>
              <w:t xml:space="preserve">Minor NC</w:t>
            </w:r>
          </w:p>
        </w:tc>
        <w:tc>
          <w:tcPr>
            <w:tcW w:type="dxa" w:w="19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MFA not implemented on all critical systems — 45% coverage only. Control A.8.5 not fully implemented (RC-010).</w:t>
            </w:r>
          </w:p>
        </w:tc>
        <w:tc>
          <w:tcPr>
            <w:tcW w:type="dxa" w:w="1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MFA deployment deprioritized. Legacy applications lack native MFA support.</w:t>
            </w:r>
          </w:p>
        </w:tc>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1. Prioritize MFA on O365, VPN, admin consoles (Phase 1)
2. Assess legacy apps — SSO integration or compensating controls
3. Document and accept residual risk for apps pending MFA</w:t>
            </w:r>
          </w:p>
        </w:tc>
        <w:tc>
          <w:tcPr>
            <w:tcW w:type="dxa" w:w="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IT Manager</w:t>
            </w:r>
          </w:p>
        </w:tc>
        <w:tc>
          <w:tcPr>
            <w:tcW w:type="dxa" w:w="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30 Jun 2026</w:t>
            </w:r>
          </w:p>
        </w:tc>
        <w:tc>
          <w:tcPr>
            <w:tcW w:type="dxa" w:w="7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NCR-003</w:t>
            </w:r>
          </w:p>
        </w:tc>
        <w:tc>
          <w:tcPr>
            <w:tcW w:type="dxa" w:w="7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5"/>
                <w:szCs w:val="15"/>
              </w:rPr>
              <w:t xml:space="preserve">Minor NC</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Vulnerability management not yet automated — scanner not deployed. Control A.8.8 partially implemented (RC-011).</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Vulnerability scanner procurement delayed. Manual patching process in place.</w:t>
            </w:r>
          </w:p>
        </w:tc>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1. Complete scanner deployment (in progress)
2. Run baseline scan and document findings
3. Establish patch SLA compliance monitoring</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IT Manager</w:t>
            </w:r>
          </w:p>
        </w:tc>
        <w:tc>
          <w:tcPr>
            <w:tcW w:type="dxa" w:w="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15 Jun 2026</w:t>
            </w:r>
          </w:p>
        </w:tc>
        <w:tc>
          <w:tcPr>
            <w:tcW w:type="dxa" w:w="7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NCR-004</w:t>
            </w:r>
          </w:p>
        </w:tc>
        <w:tc>
          <w:tcPr>
            <w:tcW w:type="dxa" w:w="7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5"/>
                <w:szCs w:val="15"/>
              </w:rPr>
              <w:t xml:space="preserve">Minor NC</w:t>
            </w:r>
          </w:p>
        </w:tc>
        <w:tc>
          <w:tcPr>
            <w:tcW w:type="dxa" w:w="19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Supplier IS contracts — 70% of Tier 1 suppliers lack formal IS clauses in contracts (RC-013).</w:t>
            </w:r>
          </w:p>
        </w:tc>
        <w:tc>
          <w:tcPr>
            <w:tcW w:type="dxa" w:w="1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Existing contracts predated ISMS programme. No systematic supplier IS review conducted.</w:t>
            </w:r>
          </w:p>
        </w:tc>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1. Identify all Tier 1 suppliers with data access
2. Prioritize 3 highest-risk contracts for immediate IS clause insertion
3. Include IS clauses in all new contracts going forward</w:t>
            </w:r>
          </w:p>
        </w:tc>
        <w:tc>
          <w:tcPr>
            <w:tcW w:type="dxa" w:w="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Legal / CISO</w:t>
            </w:r>
          </w:p>
        </w:tc>
        <w:tc>
          <w:tcPr>
            <w:tcW w:type="dxa" w:w="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30 Jun 2026</w:t>
            </w:r>
          </w:p>
        </w:tc>
        <w:tc>
          <w:tcPr>
            <w:tcW w:type="dxa" w:w="7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NCR-005</w:t>
            </w:r>
          </w:p>
        </w:tc>
        <w:tc>
          <w:tcPr>
            <w:tcW w:type="dxa" w:w="70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5"/>
                <w:szCs w:val="15"/>
              </w:rPr>
              <w:t xml:space="preserve">Minor NC</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Internal audit programme established but 0 audits completed. Clause 9.2 requires audits at planned intervals (RC-015).</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ISMS programme recently established. Audit programme defined but execution not yet started.</w:t>
            </w:r>
          </w:p>
        </w:tc>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1. Schedule and conduct first internal audit (IA-2026-01) by Jul 2026
2. Appoint lead internal auditor (in progress — ISMS-CMP-001)
3. Report audit results to IS Forum</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IS Manager</w:t>
            </w:r>
          </w:p>
        </w:tc>
        <w:tc>
          <w:tcPr>
            <w:tcW w:type="dxa" w:w="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31 Jul 2026</w:t>
            </w:r>
          </w:p>
        </w:tc>
        <w:tc>
          <w:tcPr>
            <w:tcW w:type="dxa" w:w="7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NCR-006</w:t>
            </w:r>
          </w:p>
        </w:tc>
        <w:tc>
          <w:tcPr>
            <w:tcW w:type="dxa" w:w="700"/>
            <w:tcBorders>
              <w:top w:val="single" w:color="CCCCCC" w:sz="1"/>
              <w:left w:val="single" w:color="CCCCCC" w:sz="1"/>
              <w:bottom w:val="single" w:color="CCCCCC" w:sz="1"/>
              <w:right w:val="single" w:color="CCCCCC" w:sz="1"/>
            </w:tcBorders>
            <w:shd w:fill="E6F1FB" w:val="clear"/>
            <w:tcMar>
              <w:top w:type="dxa" w:w="55"/>
              <w:left w:type="dxa" w:w="60"/>
              <w:bottom w:type="dxa" w:w="55"/>
              <w:right w:type="dxa" w:w="60"/>
            </w:tcMar>
          </w:tcPr>
          <w:p>
            <w:pPr>
              <w:jc w:val="center"/>
            </w:pPr>
            <w:r>
              <w:rPr>
                <w:rFonts w:ascii="Arial" w:cs="Arial" w:eastAsia="Arial" w:hAnsi="Arial"/>
                <w:b/>
                <w:bCs/>
                <w:color w:val="0C447C"/>
                <w:sz w:val="15"/>
                <w:szCs w:val="15"/>
              </w:rPr>
              <w:t xml:space="preserve">OFI</w:t>
            </w:r>
          </w:p>
        </w:tc>
        <w:tc>
          <w:tcPr>
            <w:tcW w:type="dxa" w:w="19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Backup restore not yet tested with documented results. A.8.13 partially implemented (RC-012).</w:t>
            </w:r>
          </w:p>
        </w:tc>
        <w:tc>
          <w:tcPr>
            <w:tcW w:type="dxa" w:w="1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Backup system operational but restore test not formally scheduled or documented.</w:t>
            </w:r>
          </w:p>
        </w:tc>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1. Schedule quarterly backup restore test
2. Document restore results (time, data integrity confirmed)
3. Update BCM policy with RTO/RPO evidence</w:t>
            </w:r>
          </w:p>
        </w:tc>
        <w:tc>
          <w:tcPr>
            <w:tcW w:type="dxa" w:w="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IT Manager</w:t>
            </w:r>
          </w:p>
        </w:tc>
        <w:tc>
          <w:tcPr>
            <w:tcW w:type="dxa" w:w="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30 Jun 2026</w:t>
            </w:r>
          </w:p>
        </w:tc>
        <w:tc>
          <w:tcPr>
            <w:tcW w:type="dxa" w:w="760"/>
            <w:tcBorders>
              <w:top w:val="single" w:color="CCCCCC" w:sz="1"/>
              <w:left w:val="single" w:color="CCCCCC" w:sz="1"/>
              <w:bottom w:val="single" w:color="CCCCCC" w:sz="1"/>
              <w:right w:val="single" w:color="CCCCCC" w:sz="1"/>
            </w:tcBorders>
            <w:shd w:fill="FAECE7" w:val="clear"/>
            <w:tcMar>
              <w:top w:type="dxa" w:w="55"/>
              <w:left w:type="dxa" w:w="60"/>
              <w:bottom w:type="dxa" w:w="55"/>
              <w:right w:type="dxa" w:w="60"/>
            </w:tcMar>
          </w:tcPr>
          <w:p>
            <w:pPr>
              <w:jc w:val="center"/>
            </w:pPr>
            <w:r>
              <w:rPr>
                <w:rFonts w:ascii="Arial" w:cs="Arial" w:eastAsia="Arial" w:hAnsi="Arial"/>
                <w:b/>
                <w:bCs/>
                <w:color w:val="993C1D"/>
                <w:sz w:val="17"/>
                <w:szCs w:val="17"/>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NCR-007</w:t>
            </w:r>
          </w:p>
        </w:tc>
        <w:tc>
          <w:tcPr>
            <w:tcW w:type="dxa" w:w="700"/>
            <w:tcBorders>
              <w:top w:val="single" w:color="CCCCCC" w:sz="1"/>
              <w:left w:val="single" w:color="CCCCCC" w:sz="1"/>
              <w:bottom w:val="single" w:color="CCCCCC" w:sz="1"/>
              <w:right w:val="single" w:color="CCCCCC" w:sz="1"/>
            </w:tcBorders>
            <w:shd w:fill="E6F1FB" w:val="clear"/>
            <w:tcMar>
              <w:top w:type="dxa" w:w="55"/>
              <w:left w:type="dxa" w:w="60"/>
              <w:bottom w:type="dxa" w:w="55"/>
              <w:right w:type="dxa" w:w="60"/>
            </w:tcMar>
          </w:tcPr>
          <w:p>
            <w:pPr>
              <w:jc w:val="center"/>
            </w:pPr>
            <w:r>
              <w:rPr>
                <w:rFonts w:ascii="Arial" w:cs="Arial" w:eastAsia="Arial" w:hAnsi="Arial"/>
                <w:b/>
                <w:bCs/>
                <w:color w:val="0C447C"/>
                <w:sz w:val="15"/>
                <w:szCs w:val="15"/>
              </w:rPr>
              <w:t xml:space="preserve">OFI</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Competence gaps — IT Manager and Legal Officer lack target IS qualifications (ISMS-CMP-001 GAP-001, GAP-002).</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Training budget not yet allocated for these roles. Plans exist but not funded.</w:t>
            </w:r>
          </w:p>
        </w:tc>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1. Enroll IT Manager in ISO 27001 LI course
2. Enroll Legal Officer in IAPP CIPP/E
3. Update ISMS-CMP-001 upon completion</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CISO</w:t>
            </w:r>
          </w:p>
        </w:tc>
        <w:tc>
          <w:tcPr>
            <w:tcW w:type="dxa" w:w="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5"/>
                <w:szCs w:val="15"/>
              </w:rPr>
              <w:t xml:space="preserve">30 Sep 2026</w:t>
            </w:r>
          </w:p>
        </w:tc>
        <w:tc>
          <w:tcPr>
            <w:tcW w:type="dxa" w:w="760"/>
            <w:tcBorders>
              <w:top w:val="single" w:color="CCCCCC" w:sz="1"/>
              <w:left w:val="single" w:color="CCCCCC" w:sz="1"/>
              <w:bottom w:val="single" w:color="CCCCCC" w:sz="1"/>
              <w:right w:val="single" w:color="CCCCCC" w:sz="1"/>
            </w:tcBorders>
            <w:shd w:fill="FAECE7" w:val="clear"/>
            <w:tcMar>
              <w:top w:type="dxa" w:w="55"/>
              <w:left w:type="dxa" w:w="60"/>
              <w:bottom w:type="dxa" w:w="55"/>
              <w:right w:type="dxa" w:w="60"/>
            </w:tcMar>
          </w:tcPr>
          <w:p>
            <w:pPr>
              <w:jc w:val="center"/>
            </w:pPr>
            <w:r>
              <w:rPr>
                <w:rFonts w:ascii="Arial" w:cs="Arial" w:eastAsia="Arial" w:hAnsi="Arial"/>
                <w:b/>
                <w:bCs/>
                <w:color w:val="993C1D"/>
                <w:sz w:val="17"/>
                <w:szCs w:val="17"/>
              </w:rPr>
              <w:t xml:space="preserve">Open</w:t>
            </w:r>
          </w:p>
        </w:tc>
      </w:tr>
      <w:tr>
        <w:tc>
          <w:tcPr>
            <w:tcW w:type="dxa" w:w="5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NCR-008</w:t>
            </w:r>
          </w:p>
        </w:tc>
        <w:tc>
          <w:tcPr>
            <w:tcW w:type="dxa" w:w="700"/>
            <w:tcBorders>
              <w:top w:val="single" w:color="CCCCCC" w:sz="1"/>
              <w:left w:val="single" w:color="CCCCCC" w:sz="1"/>
              <w:bottom w:val="single" w:color="CCCCCC" w:sz="1"/>
              <w:right w:val="single" w:color="CCCCCC" w:sz="1"/>
            </w:tcBorders>
            <w:shd w:fill="E6F1FB" w:val="clear"/>
            <w:tcMar>
              <w:top w:type="dxa" w:w="55"/>
              <w:left w:type="dxa" w:w="60"/>
              <w:bottom w:type="dxa" w:w="55"/>
              <w:right w:type="dxa" w:w="60"/>
            </w:tcMar>
          </w:tcPr>
          <w:p>
            <w:pPr>
              <w:jc w:val="center"/>
            </w:pPr>
            <w:r>
              <w:rPr>
                <w:rFonts w:ascii="Arial" w:cs="Arial" w:eastAsia="Arial" w:hAnsi="Arial"/>
                <w:b/>
                <w:bCs/>
                <w:color w:val="0C447C"/>
                <w:sz w:val="15"/>
                <w:szCs w:val="15"/>
              </w:rPr>
              <w:t xml:space="preserve">OFI</w:t>
            </w:r>
          </w:p>
        </w:tc>
        <w:tc>
          <w:tcPr>
            <w:tcW w:type="dxa" w:w="19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Incident response tabletop exercise not yet conducted. A.5.24 partially implemented (RC-014).</w:t>
            </w:r>
          </w:p>
        </w:tc>
        <w:tc>
          <w:tcPr>
            <w:tcW w:type="dxa" w:w="1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IR Policy drafted but no practical exercise conducted to test effectiveness.</w:t>
            </w:r>
          </w:p>
        </w:tc>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1. Schedule tabletop IR exercise (ransomware scenario)
2. Document exercise outputs and lessons learned
3. Update ISMS-IRP-001 based on exercise findings</w:t>
            </w:r>
          </w:p>
        </w:tc>
        <w:tc>
          <w:tcPr>
            <w:tcW w:type="dxa" w:w="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IS Manager</w:t>
            </w:r>
          </w:p>
        </w:tc>
        <w:tc>
          <w:tcPr>
            <w:tcW w:type="dxa" w:w="7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5"/>
                <w:szCs w:val="15"/>
              </w:rPr>
              <w:t xml:space="preserve">31 Aug 2026</w:t>
            </w:r>
          </w:p>
        </w:tc>
        <w:tc>
          <w:tcPr>
            <w:tcW w:type="dxa" w:w="760"/>
            <w:tcBorders>
              <w:top w:val="single" w:color="CCCCCC" w:sz="1"/>
              <w:left w:val="single" w:color="CCCCCC" w:sz="1"/>
              <w:bottom w:val="single" w:color="CCCCCC" w:sz="1"/>
              <w:right w:val="single" w:color="CCCCCC" w:sz="1"/>
            </w:tcBorders>
            <w:shd w:fill="FAECE7" w:val="clear"/>
            <w:tcMar>
              <w:top w:type="dxa" w:w="55"/>
              <w:left w:type="dxa" w:w="60"/>
              <w:bottom w:type="dxa" w:w="55"/>
              <w:right w:type="dxa" w:w="60"/>
            </w:tcMar>
          </w:tcPr>
          <w:p>
            <w:pPr>
              <w:jc w:val="center"/>
            </w:pPr>
            <w:r>
              <w:rPr>
                <w:rFonts w:ascii="Arial" w:cs="Arial" w:eastAsia="Arial" w:hAnsi="Arial"/>
                <w:b/>
                <w:bCs/>
                <w:color w:val="993C1D"/>
                <w:sz w:val="17"/>
                <w:szCs w:val="17"/>
              </w:rPr>
              <w:t xml:space="preserve">Open</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4. NCR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Total</w:t>
            </w:r>
          </w:p>
        </w:tc>
        <w:tc>
          <w:tcPr>
            <w:tcW w:type="dxa" w:w="1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Open</w:t>
            </w:r>
          </w:p>
        </w:tc>
        <w:tc>
          <w:tcPr>
            <w:tcW w:type="dxa" w:w="1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In Progress</w:t>
            </w:r>
          </w:p>
        </w:tc>
        <w:tc>
          <w:tcPr>
            <w:tcW w:type="dxa" w:w="1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Closed</w:t>
            </w:r>
          </w:p>
        </w:tc>
        <w:tc>
          <w:tcPr>
            <w:tcW w:type="dxa" w:w="21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 Closed</w:t>
            </w:r>
          </w:p>
        </w:tc>
      </w:tr>
      <w:tr>
        <w:tc>
          <w:tcPr>
            <w:tcW w:type="dxa" w:w="2400"/>
            <w:tcBorders>
              <w:top w:val="single" w:color="CCCCCC" w:sz="1"/>
              <w:left w:val="single" w:color="CCCCCC" w:sz="1"/>
              <w:bottom w:val="single" w:color="CCCCCC" w:sz="1"/>
              <w:right w:val="single" w:color="CCCCCC" w:sz="1"/>
            </w:tcBorders>
            <w:shd w:fill="D6F5E8" w:val="clear"/>
            <w:tcMar>
              <w:top w:type="dxa" w:w="60"/>
              <w:left w:type="dxa" w:w="100"/>
              <w:bottom w:type="dxa" w:w="60"/>
              <w:right w:type="dxa" w:w="80"/>
            </w:tcMar>
          </w:tcPr>
          <w:p>
            <w:r>
              <w:rPr>
                <w:rFonts w:ascii="Arial" w:cs="Arial" w:eastAsia="Arial" w:hAnsi="Arial"/>
                <w:b/>
                <w:bCs/>
                <w:color w:val="085041"/>
                <w:sz w:val="18"/>
                <w:szCs w:val="18"/>
              </w:rPr>
              <w:t xml:space="preserve">Major Nonconformity</w:t>
            </w:r>
          </w:p>
        </w:tc>
        <w:tc>
          <w:tcPr>
            <w:tcW w:type="dxa" w:w="1200"/>
            <w:tcBorders>
              <w:top w:val="single" w:color="CCCCCC" w:sz="1"/>
              <w:left w:val="single" w:color="CCCCCC" w:sz="1"/>
              <w:bottom w:val="single" w:color="CCCCCC" w:sz="1"/>
              <w:right w:val="single" w:color="CCCCCC" w:sz="1"/>
            </w:tcBorders>
            <w:shd w:fill="D6F5E8"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D6F5E8"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D6F5E8"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D6F5E8"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2160"/>
            <w:tcBorders>
              <w:top w:val="single" w:color="CCCCCC" w:sz="1"/>
              <w:left w:val="single" w:color="CCCCCC" w:sz="1"/>
              <w:bottom w:val="single" w:color="CCCCCC" w:sz="1"/>
              <w:right w:val="single" w:color="CCCCCC" w:sz="1"/>
            </w:tcBorders>
            <w:shd w:fill="D6F5E8"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N/A</w:t>
            </w:r>
          </w:p>
        </w:tc>
      </w:tr>
      <w:tr>
        <w:tc>
          <w:tcPr>
            <w:tcW w:type="dxa" w:w="2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80"/>
            </w:tcMar>
          </w:tcPr>
          <w:p>
            <w:r>
              <w:rPr>
                <w:rFonts w:ascii="Arial" w:cs="Arial" w:eastAsia="Arial" w:hAnsi="Arial"/>
                <w:b/>
                <w:bCs/>
                <w:color w:val="856404"/>
                <w:sz w:val="18"/>
                <w:szCs w:val="18"/>
              </w:rPr>
              <w:t xml:space="preserve">Minor Nonconformity</w:t>
            </w:r>
          </w:p>
        </w:tc>
        <w:tc>
          <w:tcPr>
            <w:tcW w:type="dxa" w:w="120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1</w:t>
            </w:r>
          </w:p>
        </w:tc>
        <w:tc>
          <w:tcPr>
            <w:tcW w:type="dxa" w:w="120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216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r>
      <w:tr>
        <w:tc>
          <w:tcPr>
            <w:tcW w:type="dxa" w:w="240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80"/>
            </w:tcMar>
          </w:tcPr>
          <w:p>
            <w:r>
              <w:rPr>
                <w:rFonts w:ascii="Arial" w:cs="Arial" w:eastAsia="Arial" w:hAnsi="Arial"/>
                <w:b/>
                <w:bCs/>
                <w:color w:val="0C447C"/>
                <w:sz w:val="18"/>
                <w:szCs w:val="18"/>
              </w:rPr>
              <w:t xml:space="preserve">Observation for Improvement</w:t>
            </w:r>
          </w:p>
        </w:tc>
        <w:tc>
          <w:tcPr>
            <w:tcW w:type="dxa" w:w="1200"/>
            <w:tcBorders>
              <w:top w:val="single" w:color="CCCCCC" w:sz="1"/>
              <w:left w:val="single" w:color="CCCCCC" w:sz="1"/>
              <w:bottom w:val="single" w:color="CCCCCC" w:sz="1"/>
              <w:right w:val="single" w:color="CCCCCC" w:sz="1"/>
            </w:tcBorders>
            <w:shd w:fill="E6F1FB"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3</w:t>
            </w:r>
          </w:p>
        </w:tc>
        <w:tc>
          <w:tcPr>
            <w:tcW w:type="dxa" w:w="1200"/>
            <w:tcBorders>
              <w:top w:val="single" w:color="CCCCCC" w:sz="1"/>
              <w:left w:val="single" w:color="CCCCCC" w:sz="1"/>
              <w:bottom w:val="single" w:color="CCCCCC" w:sz="1"/>
              <w:right w:val="single" w:color="CCCCCC" w:sz="1"/>
            </w:tcBorders>
            <w:shd w:fill="E6F1FB"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3</w:t>
            </w:r>
          </w:p>
        </w:tc>
        <w:tc>
          <w:tcPr>
            <w:tcW w:type="dxa" w:w="1200"/>
            <w:tcBorders>
              <w:top w:val="single" w:color="CCCCCC" w:sz="1"/>
              <w:left w:val="single" w:color="CCCCCC" w:sz="1"/>
              <w:bottom w:val="single" w:color="CCCCCC" w:sz="1"/>
              <w:right w:val="single" w:color="CCCCCC" w:sz="1"/>
            </w:tcBorders>
            <w:shd w:fill="E6F1FB"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shd w:fill="E6F1FB"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c>
          <w:tcPr>
            <w:tcW w:type="dxa" w:w="2160"/>
            <w:tcBorders>
              <w:top w:val="single" w:color="CCCCCC" w:sz="1"/>
              <w:left w:val="single" w:color="CCCCCC" w:sz="1"/>
              <w:bottom w:val="single" w:color="CCCCCC" w:sz="1"/>
              <w:right w:val="single" w:color="CCCCCC" w:sz="1"/>
            </w:tcBorders>
            <w:shd w:fill="E6F1FB" w:val="clear"/>
            <w:tcMar>
              <w:top w:type="dxa" w:w="60"/>
              <w:left w:type="dxa" w:w="60"/>
              <w:bottom w:type="dxa" w:w="60"/>
              <w:right w:type="dxa" w:w="60"/>
            </w:tcMar>
          </w:tcPr>
          <w:p>
            <w:pPr>
              <w:jc w:val="center"/>
            </w:pPr>
            <w:r>
              <w:rPr>
                <w:rFonts w:ascii="Arial" w:cs="Arial" w:eastAsia="Arial" w:hAnsi="Arial"/>
                <w:b w:val="false"/>
                <w:bCs w:val="false"/>
                <w:sz w:val="18"/>
                <w:szCs w:val="18"/>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80"/>
            </w:tcMar>
          </w:tcPr>
          <w:p>
            <w:r>
              <w:rPr>
                <w:rFonts w:ascii="Arial" w:cs="Arial" w:eastAsia="Arial" w:hAnsi="Arial"/>
                <w:b/>
                <w:bCs/>
                <w:color w:val="1F3864"/>
                <w:sz w:val="18"/>
                <w:szCs w:val="18"/>
              </w:rPr>
              <w:t xml:space="preserve">TOTAL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b/>
                <w:bCs/>
                <w:sz w:val="18"/>
                <w:szCs w:val="18"/>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b/>
                <w:bCs/>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b/>
                <w:bCs/>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b/>
                <w:bCs/>
                <w:sz w:val="18"/>
                <w:szCs w:val="18"/>
              </w:rPr>
              <w:t xml:space="preserve">0</w:t>
            </w:r>
          </w:p>
        </w:tc>
        <w:tc>
          <w:tcPr>
            <w:tcW w:type="dxa" w:w="216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b/>
                <w:bCs/>
                <w:sz w:val="18"/>
                <w:szCs w:val="18"/>
              </w:rPr>
              <w:t xml:space="preserve">0%</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5. Continual Improvement Register (Clause 10.2)</w:t>
      </w:r>
    </w:p>
    <w:p>
      <w:pPr>
        <w:spacing w:after="60" w:before="60"/>
      </w:pPr>
      <w:r>
        <w:rPr>
          <w:rFonts w:ascii="Arial" w:cs="Arial" w:eastAsia="Arial" w:hAnsi="Arial"/>
          <w:sz w:val="22"/>
          <w:szCs w:val="22"/>
        </w:rPr>
        <w:t xml:space="preserve">The following improvements have been identified and approved as part of the ISMS continual improvement programme:</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400"/>
        <w:gridCol w:w="1400"/>
        <w:gridCol w:w="13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CI Ref</w:t>
            </w:r>
          </w:p>
        </w:tc>
        <w:tc>
          <w:tcPr>
            <w:tcW w:type="dxa" w:w="2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Improvement</w:t>
            </w:r>
          </w:p>
        </w:tc>
        <w:tc>
          <w:tcPr>
            <w:tcW w:type="dxa" w:w="2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Expected Benefit</w:t>
            </w:r>
          </w:p>
        </w:tc>
        <w:tc>
          <w:tcPr>
            <w:tcW w:type="dxa" w:w="1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Owner</w:t>
            </w:r>
          </w:p>
        </w:tc>
        <w:tc>
          <w:tcPr>
            <w:tcW w:type="dxa" w:w="1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Target Date</w:t>
            </w:r>
          </w:p>
        </w:tc>
        <w:tc>
          <w:tcPr>
            <w:tcW w:type="dxa" w:w="13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CI-001</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Deploy SIEM platform for centralized security monitoring</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Early threat detection; improved MTTD from 48hrs to &lt;4hrs</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IT Manager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Q1 2027</w:t>
            </w:r>
          </w:p>
        </w:tc>
        <w:tc>
          <w:tcPr>
            <w:tcW w:type="dxa" w:w="1360"/>
            <w:tcBorders>
              <w:top w:val="single" w:color="CCCCCC" w:sz="1"/>
              <w:left w:val="single" w:color="CCCCCC" w:sz="1"/>
              <w:bottom w:val="single" w:color="CCCCCC" w:sz="1"/>
              <w:right w:val="single" w:color="CCCCCC" w:sz="1"/>
            </w:tcBorders>
            <w:shd w:fill="FFFFFF" w:val="clear"/>
            <w:tcMar>
              <w:top w:type="dxa" w:w="55"/>
              <w:left w:type="dxa" w:w="60"/>
              <w:bottom w:type="dxa" w:w="55"/>
              <w:right w:type="dxa" w:w="60"/>
            </w:tcMar>
          </w:tcPr>
          <w:p>
            <w:pPr>
              <w:jc w:val="center"/>
            </w:pPr>
            <w:r>
              <w:rPr>
                <w:rFonts w:ascii="Arial" w:cs="Arial" w:eastAsia="Arial" w:hAnsi="Arial"/>
                <w:b/>
                <w:bCs/>
                <w:color w:val="333333"/>
                <w:sz w:val="17"/>
                <w:szCs w:val="17"/>
              </w:rPr>
              <w:t xml:space="preserve">Planned</w:t>
            </w:r>
          </w:p>
        </w:tc>
      </w:tr>
      <w:tr>
        <w:tc>
          <w:tcPr>
            <w:tcW w:type="dxa" w:w="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CI-002</w:t>
            </w:r>
          </w:p>
        </w:tc>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Implement DevSecOps pipeline with automated SAST/DAST</w:t>
            </w:r>
          </w:p>
        </w:tc>
        <w:tc>
          <w:tcPr>
            <w:tcW w:type="dxa" w:w="2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Detect vulnerabilities in code before production deployment</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Dev Lead</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Q4 2026</w:t>
            </w:r>
          </w:p>
        </w:tc>
        <w:tc>
          <w:tcPr>
            <w:tcW w:type="dxa" w:w="13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CI-003</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Achieve ISO 27001:2022 certification</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Demonstrate IS maturity to clients; win new RFPs requiring certification</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CISO</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Q4 2026</w:t>
            </w:r>
          </w:p>
        </w:tc>
        <w:tc>
          <w:tcPr>
            <w:tcW w:type="dxa" w:w="13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r>
        <w:tc>
          <w:tcPr>
            <w:tcW w:type="dxa" w:w="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CI-004</w:t>
            </w:r>
          </w:p>
        </w:tc>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Annual external penetration test</w:t>
            </w:r>
          </w:p>
        </w:tc>
        <w:tc>
          <w:tcPr>
            <w:tcW w:type="dxa" w:w="2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Identify residual technical vulnerabilities not found by internal scanning</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IT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Q3 2026</w:t>
            </w:r>
          </w:p>
        </w:tc>
        <w:tc>
          <w:tcPr>
            <w:tcW w:type="dxa" w:w="1360"/>
            <w:tcBorders>
              <w:top w:val="single" w:color="CCCCCC" w:sz="1"/>
              <w:left w:val="single" w:color="CCCCCC" w:sz="1"/>
              <w:bottom w:val="single" w:color="CCCCCC" w:sz="1"/>
              <w:right w:val="single" w:color="CCCCCC" w:sz="1"/>
            </w:tcBorders>
            <w:shd w:fill="FFFFFF" w:val="clear"/>
            <w:tcMar>
              <w:top w:type="dxa" w:w="55"/>
              <w:left w:type="dxa" w:w="60"/>
              <w:bottom w:type="dxa" w:w="55"/>
              <w:right w:type="dxa" w:w="60"/>
            </w:tcMar>
          </w:tcPr>
          <w:p>
            <w:pPr>
              <w:jc w:val="center"/>
            </w:pPr>
            <w:r>
              <w:rPr>
                <w:rFonts w:ascii="Arial" w:cs="Arial" w:eastAsia="Arial" w:hAnsi="Arial"/>
                <w:b/>
                <w:bCs/>
                <w:color w:val="333333"/>
                <w:sz w:val="17"/>
                <w:szCs w:val="17"/>
              </w:rPr>
              <w:t xml:space="preserve">Planned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CI-005</w:t>
            </w:r>
          </w:p>
        </w:tc>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Implement Zero Trust Network Architecture (ZTNA)</w:t>
            </w:r>
          </w:p>
        </w:tc>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Replace VPN with more secure, context-aware access control</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IT Manager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6"/>
                <w:szCs w:val="16"/>
              </w:rPr>
              <w:t xml:space="preserve">2027</w:t>
            </w:r>
          </w:p>
        </w:tc>
        <w:tc>
          <w:tcPr>
            <w:tcW w:type="dxa" w:w="1360"/>
            <w:tcBorders>
              <w:top w:val="single" w:color="CCCCCC" w:sz="1"/>
              <w:left w:val="single" w:color="CCCCCC" w:sz="1"/>
              <w:bottom w:val="single" w:color="CCCCCC" w:sz="1"/>
              <w:right w:val="single" w:color="CCCCCC" w:sz="1"/>
            </w:tcBorders>
            <w:shd w:fill="FFFFFF" w:val="clear"/>
            <w:tcMar>
              <w:top w:type="dxa" w:w="55"/>
              <w:left w:type="dxa" w:w="60"/>
              <w:bottom w:type="dxa" w:w="55"/>
              <w:right w:type="dxa" w:w="60"/>
            </w:tcMar>
          </w:tcPr>
          <w:p>
            <w:pPr>
              <w:jc w:val="center"/>
            </w:pPr>
            <w:r>
              <w:rPr>
                <w:rFonts w:ascii="Arial" w:cs="Arial" w:eastAsia="Arial" w:hAnsi="Arial"/>
                <w:b/>
                <w:bCs/>
                <w:color w:val="333333"/>
                <w:sz w:val="17"/>
                <w:szCs w:val="17"/>
              </w:rPr>
              <w:t xml:space="preserve">Planned</w:t>
            </w:r>
          </w:p>
        </w:tc>
      </w:tr>
      <w:tr>
        <w:tc>
          <w:tcPr>
            <w:tcW w:type="dxa" w:w="6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CI-006</w:t>
            </w:r>
          </w:p>
        </w:tc>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Automate IS awareness training with adaptive learning paths</w:t>
            </w:r>
          </w:p>
        </w:tc>
        <w:tc>
          <w:tcPr>
            <w:tcW w:type="dxa" w:w="2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Increase training completion rate above 95%; reduce phishing click rate to &lt;3%</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IS Manager</w:t>
            </w:r>
          </w:p>
        </w:tc>
        <w:tc>
          <w:tcPr>
            <w:tcW w:type="dxa" w:w="14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6"/>
                <w:szCs w:val="16"/>
              </w:rPr>
              <w:t xml:space="preserve">Q3 2026</w:t>
            </w:r>
          </w:p>
        </w:tc>
        <w:tc>
          <w:tcPr>
            <w:tcW w:type="dxa" w:w="1360"/>
            <w:tcBorders>
              <w:top w:val="single" w:color="CCCCCC" w:sz="1"/>
              <w:left w:val="single" w:color="CCCCCC" w:sz="1"/>
              <w:bottom w:val="single" w:color="CCCCCC" w:sz="1"/>
              <w:right w:val="single" w:color="CCCCCC" w:sz="1"/>
            </w:tcBorders>
            <w:shd w:fill="FFF3CD" w:val="clear"/>
            <w:tcMar>
              <w:top w:type="dxa" w:w="55"/>
              <w:left w:type="dxa" w:w="60"/>
              <w:bottom w:type="dxa" w:w="55"/>
              <w:right w:type="dxa" w:w="60"/>
            </w:tcMar>
          </w:tcPr>
          <w:p>
            <w:pPr>
              <w:jc w:val="center"/>
            </w:pPr>
            <w:r>
              <w:rPr>
                <w:rFonts w:ascii="Arial" w:cs="Arial" w:eastAsia="Arial" w:hAnsi="Arial"/>
                <w:b/>
                <w:bCs/>
                <w:color w:val="856404"/>
                <w:sz w:val="17"/>
                <w:szCs w:val="17"/>
              </w:rPr>
              <w:t xml:space="preserve">In Progress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 ___________________________   /   6 May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Log 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Living document — updated at every IS Forum meeting and Management Review</w:t>
            </w:r>
          </w:p>
        </w:tc>
      </w:tr>
    </w:tbl>
    <w:sectPr>
      <w:footerReference w:type="default" r:id="rId7"/>
      <w:pgSz w:w="11906" w:h="16838" w:orient="portrait"/>
      <w:pgMar w:top="1440" w:right="1100" w:bottom="144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7"/>
        <w:szCs w:val="17"/>
      </w:rPr>
      <w:t xml:space="preserve">ISMS-NCR-001  |  Nonconformities &amp; Corrective Actions Log  |  [Organization Name]  |  INTERNAL  |  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of </w:t>
    </w:r>
    <w:r>
      <w:rPr>
        <w:rFonts w:ascii="Arial" w:cs="Arial" w:eastAsia="Arial" w:hAnsi="Arial"/>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2026-05-08T04:23:21.260Z</dcterms:created>
  <dcterms:modified xsi:type="dcterms:W3CDTF">2026-05-08T04:23:21.260Z</dcterms:modified>
</cp:coreProperties>
</file>

<file path=docProps/custom.xml><?xml version="1.0" encoding="utf-8"?>
<Properties xmlns="http://schemas.openxmlformats.org/officeDocument/2006/custom-properties" xmlns:vt="http://schemas.openxmlformats.org/officeDocument/2006/docPropsVTypes"/>
</file>