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3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50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Risk Assessment Methodology</w:t>
      </w:r>
    </w:p>
    <w:p>
      <w:pPr>
        <w:pBdr>
          <w:bottom w:val="single" w:color="2E75B6" w:sz="6"/>
        </w:pBdr>
        <w:spacing w:after="5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 Reference: ISMS-RAM-001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4 May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CLASSIFICATION: INTERNAL</w:t>
      </w:r>
    </w:p>
    <w:p>
      <w:pPr>
        <w:spacing w:after="45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Clause 6.1.2  |  ISO/IEC 27005:2022 aligned</w:t>
      </w:r>
    </w:p>
    <w:p>
      <w:pPr>
        <w:pageBreakBefore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Assessment Methodology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ISMS-RAM-001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Top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May 2027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Clause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27001:2022 Clause 6.1.2 — IS risk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 Alignment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27005:2022 — Information security risk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ISMS-SCO-001, ISMS-POL-001, ISMS-RSK-001, ISMS-SOA-001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3760"/>
        <w:gridCol w:w="26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May 2026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 — Risk Assessment Methodology established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Manager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Purpose and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methodology that [Organization Name] Co., Ltd. shall use to conduct information security risk assessments in accordance with ISO/IEC 27001:2022 Clause 6.1.2.</w:t>
      </w:r>
    </w:p>
    <w:p>
      <w:pPr>
        <w:spacing w:after="9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ISO/IEC 27001:2022 Clause 6.1.2 requires the Organization to define and apply an information security risk assessment process that:</w:t>
      </w:r>
    </w:p>
    <w:p>
      <w:pPr>
        <w:spacing w:after="9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Establishes and maintains information security risk criteria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Ensures repeated assessments produce consistent, valid, and comparable results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Identifies information security risks and their owners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Analyses the likelihood and consequences of identified risks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Evaluates and prioritizes risks against defined risk criteria</w:t>
      </w:r>
    </w:p>
    <w:p>
      <w:pPr>
        <w:spacing w:after="9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methodology applies to all assets, processes, systems, and locations within the ISMS scope (ISMS-SCO-001). A qualitative, asset-based approach aligned with ISO/IEC 27005:2022 is used, as recommended by Calder &amp; Watkins — qualitative risk analysis is 'by far the more widely used' approach and is 'at the heart of ISO 27005.'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Key Definitions (ISO 27000:2018 sourced)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 of uncertainty on objectives — characterized by potential events, consequences, and likelihood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Information Asset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Anything of value to the organization: data, software, hardware, services, people, processes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Threat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Potential cause of an unwanted incident which may result in harm to a system or organization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Weakness of an asset or control that can be exploited by a threat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 of an unwanted incident — effect on CIA of information assets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Likelihood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Chance of something happening — scored 1–5 in this methodology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Likelihood Score × Impact Score (range: 1–25)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 with accountability and authority to manage an identified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of risk Top Management is prepared to accept in pursuit of objectives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Acceptance Criteria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Thresholds defining whether a risk is acceptable without further treatment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Treatment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to modify risk: Mitigate / Avoid / Transfer / Accept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Residual Risk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remaining after risk treatment has been applied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 that modifies risk: policies, procedures, technical measures, or organizational structures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Statement of Applicability — specifies Annex A controls with inclusion/exclusion justification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Risk Criteria (Clause 6.1.2a)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Likelihood Scale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460"/>
        <w:gridCol w:w="2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Indicative Frequency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Very 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Threat is known but exploit is very unlikely given existing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&lt; once in 5 years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Threat could occur but generally prevented by existing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Once every 2–5 years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Threat is plausible; controls provide partial mitigation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Once per year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Threat is likely; known attack vectors exist against this asset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Several times per year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Critical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Threat is almost certain or actively observed in current threat landscape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Monthly or more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Impact Scale (CIA Assessment)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Assess impact across Confidentiality, Integrity, and Availability. Record the highest applicable CIA dimension.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Harm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Negligible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Minimal disruption; no external visibility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Minor system slowdown; inconvenience to a single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Minor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Limited operational impact; managed internally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Short service interruption; small data set accessible to unauthorized party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Moderate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Significant disruption; potential regulatory notice 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Department-level data breach; 4–8 hour outage; client complaint escalation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Major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Serious financial or reputational damage; likely regulatory action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Client data breach 100+ records; &gt;24 hour outage; media coverage; regulatory inquiry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Catastrophic — potential business failure; mandatory breach notification; litigation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Mass data breach; ransomware; complete system failure; regulatory sanction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Risk Scoring Matrix (Likelihood x Impact)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 Score = Likelihood (1–5) × Impact (1–5). Maximum score = 25.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Impact 1 Negligible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Impact 2 Minor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Impact 3 Moderate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Impact 4 Major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Impact 5 Critical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L=5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2"/>
                <w:szCs w:val="22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L=4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L=3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L=2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L=1 Very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5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Risk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800"/>
        <w:gridCol w:w="27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Authority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1–4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Acceptable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Accept or monitor. Review at next annual cycle. No treatment required.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Asset 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5–9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Treatment plan required within 90 days. Owner sign-off mandatory.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10–16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Not Acceptable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Immediate treatment. CISO review within 30 days. Monthly tracking.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CISO + Top Mgmt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17–25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Not Acceptable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Escalate to CEO immediately. Emergency treatment within 14 days.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CEO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Risk Assessment Process — 7 Steps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seven steps must be completed and documented in ISMS-RSK-001 to satisfy Clause 6.1.2(b) — consistent, valid, and comparable results.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1"/>
              <w:left w:val="single" w:color="3C3489" w:sz="16"/>
              <w:bottom w:val="single" w:color="3C3489" w:sz="1"/>
              <w:right w:val="single" w:color="3C3489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STEP 1 — Asset Identification &amp; Inventory  </w:t>
            </w:r>
            <w:r>
              <w:rPr>
                <w:rFonts w:ascii="Arial" w:cs="Arial" w:eastAsia="Arial" w:hAnsi="Arial"/>
                <w:color w:val="3C3489"/>
                <w:sz w:val="18"/>
                <w:szCs w:val="18"/>
              </w:rPr>
              <w:t xml:space="preserve">Cl.6.1.2(c)(i), A.5.9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Identify all information assets within the ISMS scope. For each asset record: Asset ID, Name, Category, Owner (role), Department, and Confidentiality Classification (Public / Internal / Confidential / Restricted).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Asset categories include: Data/Information Assets · Software/Applications · Hardware/Devices · Cloud/Hosted Services · Physical Assets · People/Skills · Business Processes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Output: Completed Asset Inventory section of Risk Register (ISMS-RSK-001)</w:t>
            </w:r>
          </w:p>
        </w:tc>
      </w:tr>
    </w:tbl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6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2 — Threat Identification  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Cl.6.1.2(c)(ii)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 each asset, identify all realistic threats — both external and internal. A threat is anything that can exploit a vulnerability to cause harm.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Threat types: Accidental (human error, equipment failure) · Deliberate (cyber attack, insider threat, physical theft) · Environmental (fire, flood, power failure). Reference ENISA Threat Landscape, NCSC, Verizon DBIR for current threat intelligence (A.5.7).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Output: Threats column populated in ISMS-RSK-001</w:t>
            </w:r>
          </w:p>
        </w:tc>
      </w:tr>
    </w:tbl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85041" w:sz="1"/>
              <w:left w:val="single" w:color="085041" w:sz="16"/>
              <w:bottom w:val="single" w:color="085041" w:sz="1"/>
              <w:right w:val="single" w:color="085041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STEP 3 — Vulnerability Identification  </w:t>
            </w: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Cl.6.1.2(c)(ii)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 each threat, identify the vulnerability (weakness in a control) that the threat could exploit. A vulnerability is an absence of or weakness in a control.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Consider existing controls already in place (baseline security control approach) — assess whether they adequately address each threat. Focus the risk assessment on residual risks not fully covered by existing controls.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Output: Vulnerabilities column populated in ISMS-RSK-001</w:t>
            </w:r>
          </w:p>
        </w:tc>
      </w:tr>
    </w:tbl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3806" w:sz="1"/>
              <w:left w:val="single" w:color="633806" w:sz="16"/>
              <w:bottom w:val="single" w:color="633806" w:sz="1"/>
              <w:right w:val="single" w:color="633806" w:sz="1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STEP 4 — Impact Assessment  </w:t>
            </w: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Cl.6.1.2(c)(iii)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 each threat/vulnerability pair, assess the potential impact on the asset's CIA using the 5-point Impact Scale (Section 4.2). Select the highest applicable CIA dimension.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Consider: financial loss · operational disruption · reputational damage · regulatory/legal consequences · client contractual obligations. Record rationale for score chosen.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Output: Impact Score (1–5) recorded in ISMS-RSK-001 with rationale</w:t>
            </w:r>
          </w:p>
        </w:tc>
      </w:tr>
    </w:tbl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3C1D" w:sz="1"/>
              <w:left w:val="single" w:color="993C1D" w:sz="16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STEP 5 — Likelihood Assessment  </w:t>
            </w: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Cl.6.1.2(c)(iii)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Assess the realistic likelihood of the threat exploiting the identified vulnerability, taking into account existing controls already in place. Use the 5-point Likelihood Scale (Section 4.1).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Do NOT assess theoretical worst-case. Assess realistic likelihood given: current controls · threat actor capability · organizational context · industry threat intelligence data.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Output: Likelihood Score (1–5) recorded in ISMS-RSK-001 with rationale</w:t>
            </w:r>
          </w:p>
        </w:tc>
      </w:tr>
    </w:tbl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91F1F" w:sz="1"/>
              <w:left w:val="single" w:color="791F1F" w:sz="16"/>
              <w:bottom w:val="single" w:color="791F1F" w:sz="1"/>
              <w:right w:val="single" w:color="791F1F" w:sz="1"/>
            </w:tcBorders>
            <w:shd w:fill="FCEBE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22"/>
                <w:szCs w:val="22"/>
              </w:rPr>
              <w:t xml:space="preserve">STEP 6 — Risk Scoring &amp; Evaluation  </w:t>
            </w:r>
            <w:r>
              <w:rPr>
                <w:rFonts w:ascii="Arial" w:cs="Arial" w:eastAsia="Arial" w:hAnsi="Arial"/>
                <w:color w:val="791F1F"/>
                <w:sz w:val="18"/>
                <w:szCs w:val="18"/>
              </w:rPr>
              <w:t xml:space="preserve">Cl.6.1.2(d)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Calculate Risk Score = Likelihood x Impact. Determine Risk Level (Low/Medium/High/Critical) using the matrix in Section 4.3. Evaluate acceptability per Section 4.4. Assign a Risk Owner.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Risk Owner = the person accountable for managing the risk (not necessarily the asset owner). Typically a Department Head or CISO. One Risk Owner per risk.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Output: Risk Score, Risk Level, Acceptability Decision, and Risk Owner recorded in ISMS-RSK-001</w:t>
            </w:r>
          </w:p>
        </w:tc>
      </w:tr>
    </w:tbl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1" w:sz="1"/>
              <w:left w:val="single" w:color="444441" w:sz="16"/>
              <w:bottom w:val="single" w:color="444441" w:sz="1"/>
              <w:right w:val="single" w:color="444441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STEP 7 — Risk Register Completion  </w:t>
            </w: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Cl.6.1.2(e), 8.2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Compile all assessed risks into the complete Risk Register (ISMS-RSK-001). Verify every row is complete: Asset → Threat → Vulnerability → Impact → Likelihood → Score → Level → Owner.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completed Risk Register is the primary input to: (1) Risk Treatment Plan ISMS-RTP-001, (2) Statement of Applicability ISMS-SOA-001, and (3) Management Review (Clause 9.3). Retain as documented information (Clause 7.5).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Output: Completed Risk Register ISMS-RSK-001 — ready for treatment planning</w:t>
            </w:r>
          </w:p>
        </w:tc>
      </w:tr>
    </w:tbl>
    <w:p>
      <w:pPr>
        <w:spacing w:after="90" w:before="0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Risk Treatment Options (Clause 6.1.3)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Following risk assessment, each non-acceptable risk must be treated. The selected option, rationale, and Annex A controls must be documented in ISMS-RTP-001.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5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Apply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MITIGATE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Reduce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Implement or strengthen Annex A controls to reduce likelihood or impact to an acceptable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Most risks. Score &gt;= 5 and control is cost-effective.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ACCEPT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Retain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Formally accept the risk without additional treatment. Must be authorized per Section 4.4 criteria and documented in Risk Register.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Residual risk &lt;= 4 after treatment, or cost of control exceeds potential loss.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AVOID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Eliminate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Remove the activity, system, or asset that gives rise to the risk entirely.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Critical risk and no cost-effective control exists; activity not essential to business.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TRANSFER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Share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Transfer risk to a third party via cyber insurance, outsourcing, or contractual indemnity.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Financial risks; risks a specialist third party is better placed to manage.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Roles in the Risk Assessment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Risk Assessor (CISO)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Plan, coordinate, oversee. Ensure consistent methodology. Compile Risk Register.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 Lead Implementer or Lead Auditor (Clause 7.2)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 Owners (Dept Heads)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 asset data. Validate risk scores. Accept residual risks within authority.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 knowledge. IS awareness training completed.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/ Infrastructure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 technical threat and vulnerability data. Confirm existing control effectiveness.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IS competence; security certifications preferred.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Management / CEO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risk appetite. Approve High/Critical residual risk acceptance. Review at Management Review.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governance awareness (Clause 5.1).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Auditor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assessment was conducted per this methodology. Review Risk Register completeness.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 Internal Auditor training (Clause 9.2).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Risk Assessment Frequency (Clause 8.2)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 assessments shall be performed at planned intervals and when significant changes are proposed or occur.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880"/>
        <w:gridCol w:w="16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— Full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reassessment of all in-scope assets and risks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(minimum)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— Targeted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of High and Critical risks and treatment progress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Significant organizational 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business unit, merger, significant restructuring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Within 30 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or changed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system, cloud service, or infrastructure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go-live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Mgr + CISO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Significant IS incident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breach, ransomware, significant data loss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Within 14 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or legal 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applicable law, regulation, or contractual obligation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Within 60 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+ CISO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finding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identifies control gaps or new risks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corrective action plan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 landscape 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Significant new threat from threat intelligence (A.5.7)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hoc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Manager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Common Threat Reference — IT/Software Organizations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Reference set of common threats for medium-sized IT/software organizations. Source: ENISA Threat Landscape 2024, Verizon DBIR 2024, NCSC. Risk assessors shall add organization-specific threats as needed.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4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Assets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Vulnerabilities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Ransomware / Malware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Deliberate — External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Systems, Data, Cloud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Unpatched software; weak email filtering; no EDR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Phishing / Social Engineering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Deliberate — External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People, Credentials, Email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Insufficient IS awareness; no MFA; no email scanning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Insider Threat (malicious)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Deliberate — 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Data, Source Code, Systems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Excessive access rights; no monitoring; no SoD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Insider Threat (accidental)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Accidental — 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Data, Systems, Processes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training; misconfiguration; weak change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Deliberate — Ext/Int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Systems, Data, Apps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authentication; no MFA; unreviewed access rights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Breach / Exfiltration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Deliberate — External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Data, IP, HR Data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Poor DLP; insufficient encryption; weak network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DDoS Attack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Deliberate — External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Services, Availability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CDN/WAF; single point of failure; no rate limiting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 Chain Attack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Deliberate — External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Software, Dependencies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Unvetted suppliers; no SBOM; weak 3rd-party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Misconfiguration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Accidental — 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Assets, Data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cloud governance; no CSPM; insufficient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Theft / Device Loss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Deliberate/Accidental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Devices, Hardware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device encryption; weak physical access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/ Hardware Failure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Systems, Data, Availability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redundancy; backup failures; aging hardware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Failure / Natural 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Assets, Systems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UPS; no DR site; inadequate BCP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Ensuring Consistent Results (Clause 6.1.2b) — Auditor Evidence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ISO/IEC 27001:2022 Clause 6.1.2(b) requires consistent, valid, and comparable results. The Organization shall maintain the following as documented evidence: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80"/>
        <w:gridCol w:w="42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Required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Documented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approved Risk Assessment Methodology (ISMS-RAM-001)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 Risk Register using this methodology (ISMS-RSK-001)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Register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owners identified for every assessed risk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Register col: Risk 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Likelihood and Impact scores with documented rationale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Register col: L/I Rationale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Treatment Plan covering all non-acceptable risks (ISMS-RTP-001)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Treatment Plan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Statement of Applicability linked to risk treatment decisions (ISMS-SOA-001)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 of periodic reassessment (dated Risk Register versions)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version history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assessment results presented at Management Review (Cl.9.3)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Management Review minutes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 competence evidence for Lead Risk Assessor role (Clause 7.2)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Competence Register ISMS-CMP-001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ISO/IEC 27001:2022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Clause 6.1.2 (risk assessment); Clause 8.2 (perform risk assessment)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ISO/IEC 27005:2022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risk management guidance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ISO/IEC 27002:2022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controls — reference for treatment control selection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31000:2018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management — Guidelines (enterprise risk alignment)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ENISA Threat Landscape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strategic threat intelligence (https://www.enisa.europa.eu)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NCSC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 NCSC guidance — tactical threat intelligence (https://www.ncsc.gov.uk)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Verizon DBIR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Breach Investigations Report — empirical threat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Calder &amp; Watkins 2024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Governance: An International Guide to Data Security and ISO 27001/ISO 27002, 8th 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ISMS-SCO-001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 Scope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ISMS-POL-001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Policy (risk appetite and acceptance criteria)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ISMS-RSK-001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Register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ISMS-RTP-001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Treatment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ISMS-SOA-001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of Applicability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[CISO / CEO Full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 /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   /   4 May 2026</w:t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8"/>
        <w:szCs w:val="18"/>
      </w:rPr>
      <w:t xml:space="preserve">ISMS-RAM-001  |  Risk Assessment Methodology  |  [Organization Name]  |  INTERNAL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2026-05-05T06:59:21.635Z</dcterms:created>
  <dcterms:modified xsi:type="dcterms:W3CDTF">2026-05-05T06:59:21.636Z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