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Information Asset Inventory Register</w:t>
      </w:r>
    </w:p>
    <w:p>
      <w:pPr>
        <w:pBdr>
          <w:bottom w:val="single" w:color="2E75B6" w:sz="6"/>
        </w:pBdr>
        <w:spacing w:after="300" w:before="0"/>
        <w:jc w:val="center"/>
      </w:pPr>
      <w:r>
        <w:t xml:space="preserve"/>
      </w:r>
    </w:p>
    <w:p>
      <w:pPr>
        <w:spacing w:after="9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[Organization Name] Co., Ltd.  |  ISMS-AST-001  |  Version 1.0  |  7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A.5.9 | A.5.10 | A.5.11 | A.5.12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Asset Inventory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ISMS-AST-001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 / 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A.5.9 Inventory of assets | A.5.10 Acceptable use | A.5.11 Return | A.5.12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ISMS-RSK-001 | ISMS-ACP-001 | ISMS-AST-001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Asset Classification Scheme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assets are classified into one of four tiers based on sensitivity and business impact if compromised: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Handling Requirements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7"/>
                <w:szCs w:val="17"/>
              </w:rPr>
              <w:t xml:space="preserve">Restricted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Highest sensitivity — disclosure could cause serious harm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Source code, cryptographic keys, credentials, client PII, financial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Encrypted at rest &amp; transit; strict need-to-know; access logged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Confidential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Sensitive business information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systems data, contracts, HR records, business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Encrypted in transit; access controlled; not for external sharing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General internal 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policies, meeting minutes, project 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restricted to employees; not publicly disclosed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90"/>
              <w:bottom w:type="dxa" w:w="6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Approved for public release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Marketing materials, published documentation, website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restrictions — approved for external sharing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Asset Inventory — IT/Software Company (Representative Sample)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register documents key in-scope information assets. This register shall be completed in full by IT Manager by 30 Jun 2026 (NCR-001). [Name] = assigned asset owner to be completed.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100"/>
        <w:gridCol w:w="2000"/>
        <w:gridCol w:w="1000"/>
        <w:gridCol w:w="1100"/>
        <w:gridCol w:w="820"/>
        <w:gridCol w:w="800"/>
        <w:gridCol w:w="800"/>
        <w:gridCol w:w="1300"/>
      </w:tblGrid>
      <w:tr>
        <w:trPr>
          <w:tblHeader/>
        </w:trP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CIA Impact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Ref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Review Date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Information Assets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 personal data (PII)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Legal/CISO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DB (encrypted)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R-016, R-026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 code &amp; 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GitHub (private)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R-010, R-021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Employee HR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HRMS (cloud)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Financial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Finance Mgr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ERP system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Cryptographic keys &amp; credentials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Secrets Manager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Internal policies &amp; ISMS docs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SharePoint/Drive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 contracts &amp; proposals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SharePoint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Network architecture diagrams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Document Store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Software Assets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Operating systems (Windows/Linux/macOS)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Endpoints / Servers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Production application software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(AWS/Azure)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R-011, R-021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Development tools &amp; IDEs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Developer devices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5"/>
                <w:szCs w:val="15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L/M/M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Security tooling (EDR, firewall, SIEM)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On-premise / Cloud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CI/CD pipeline (GitHub Actions / Jenkins)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Business applications (ERP, HRMS, CRM)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SaaS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Hardware &amp; Infrastructure Assets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Employee laptops (50 units)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Office / Remote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R-014, R-016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On-premise servers (8 units)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 room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R-011, R-025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Network equipment (switches, routers, AP)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 room / Offices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Firewall appliances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 room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Mobile devices (company-issued, 30 units)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Employee custody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Backup storage devices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Offsite / Cloud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Services &amp; Cloud Assets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Cloud platform (AWS/Azure/GCP)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provider DC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R-018, R-019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 &amp; collaboration (M365/GSuite)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provider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Internet &amp; ISP connectivity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 / ISP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5"/>
                <w:szCs w:val="15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L/M/H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VPN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/ On-prem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5"/>
                <w:szCs w:val="15"/>
              </w:rPr>
              <w:t xml:space="preserve">Restricted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A-025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Domain names &amp; DNS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registrar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M/H/H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2027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CIA Impact Key: C=Confidentiality | I=Integrity | A=Availability  |  H=High / M=Medium / L=Low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3C1D"/>
          <w:sz w:val="22"/>
          <w:szCs w:val="22"/>
        </w:rPr>
        <w:t xml:space="preserve">Note: This register covers 25 representative asset categories. Full inventory (target: 100% coverage) to be completed by IT Manager by 30 Jun 2026 per NCR-001.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Full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</w:tbl>
    <w:sectPr>
      <w:footerReference w:type="default" r:id="rId7"/>
      <w:pgSz w:w="15840" w:h="122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ISMS-AST-001  |  Information Asset Inventory Register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2026-05-10T04:00:17.330Z</dcterms:created>
  <dcterms:modified xsi:type="dcterms:W3CDTF">2026-05-10T04:00:17.331Z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