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0" w:before="0"/>
      </w:pPr>
      <w:r>
        <w:t xml:space="preserve"/>
      </w:r>
    </w:p>
    <w:p>
      <w:pPr>
        <w:spacing w:after="120" w:before="0"/>
        <w:jc w:val="center"/>
      </w:pPr>
      <w:r>
        <w:rPr>
          <w:rFonts w:ascii="Arial" w:cs="Arial" w:eastAsia="Arial" w:hAnsi="Arial"/>
          <w:b/>
          <w:bCs/>
          <w:color w:val="1F3864"/>
          <w:sz w:val="28"/>
          <w:szCs w:val="28"/>
        </w:rPr>
        <w:t xml:space="preserve">INFORMATION SECURITY MANAGEMENT SYSTEM</w:t>
      </w:r>
    </w:p>
    <w:p>
      <w:pPr>
        <w:spacing w:after="400" w:before="0"/>
        <w:jc w:val="center"/>
      </w:pPr>
      <w:r>
        <w:rPr>
          <w:rFonts w:ascii="Arial" w:cs="Arial" w:eastAsia="Arial" w:hAnsi="Arial"/>
          <w:b/>
          <w:bCs/>
          <w:color w:val="2E75B6"/>
          <w:sz w:val="52"/>
          <w:szCs w:val="52"/>
        </w:rPr>
        <w:t xml:space="preserve">Access Control Policy</w:t>
      </w:r>
    </w:p>
    <w:p>
      <w:pPr>
        <w:pBdr>
          <w:bottom w:val="single" w:color="2E75B6" w:sz="6"/>
        </w:pBdr>
        <w:spacing w:after="400" w:before="0"/>
        <w:jc w:val="center"/>
      </w:pPr>
      <w:r>
        <w:t xml:space="preserve"/>
      </w:r>
    </w:p>
    <w:p>
      <w:pPr>
        <w:spacing w:after="180" w:before="0"/>
      </w:pPr>
      <w:r>
        <w:t xml:space="preserve"/>
      </w:r>
    </w:p>
    <w:p>
      <w:pPr>
        <w:spacing w:after="100" w:before="0"/>
        <w:jc w:val="center"/>
      </w:pPr>
      <w:r>
        <w:rPr>
          <w:rFonts w:ascii="Arial" w:cs="Arial" w:eastAsia="Arial" w:hAnsi="Arial"/>
          <w:b/>
          <w:bCs/>
          <w:color w:val="1F3864"/>
          <w:sz w:val="28"/>
          <w:szCs w:val="28"/>
        </w:rPr>
        <w:t xml:space="preserve">[Organization Name] Co., Ltd.</w:t>
      </w:r>
    </w:p>
    <w:p>
      <w:pPr>
        <w:spacing w:after="100" w:before="0"/>
        <w:jc w:val="center"/>
      </w:pPr>
      <w:r>
        <w:rPr>
          <w:rFonts w:ascii="Arial" w:cs="Arial" w:eastAsia="Arial" w:hAnsi="Arial"/>
          <w:color w:val="555555"/>
          <w:sz w:val="22"/>
          <w:szCs w:val="22"/>
        </w:rPr>
        <w:t xml:space="preserve">Document Reference: ISMS-ACP-001  |  Version 1.0  |  7 May 2026</w:t>
      </w:r>
    </w:p>
    <w:p>
      <w:pPr>
        <w:spacing w:after="80" w:before="0"/>
        <w:jc w:val="center"/>
      </w:pPr>
      <w:r>
        <w:rPr>
          <w:rFonts w:ascii="Arial" w:cs="Arial" w:eastAsia="Arial" w:hAnsi="Arial"/>
          <w:color w:val="777777"/>
          <w:sz w:val="20"/>
          <w:szCs w:val="20"/>
        </w:rPr>
        <w:t xml:space="preserve">ISO/IEC 27001:2022 — A.5.15 | A.5.16 | A.5.17 | A.5.18 | A.8.2 | A.8.3 | A.8.4 | A.8.5</w:t>
      </w:r>
    </w:p>
    <w:p>
      <w:pPr>
        <w:pageBreakBefore/>
      </w:pPr>
      <w:r>
        <w:t xml:space="preserve"/>
      </w:r>
    </w:p>
    <w:p>
      <w:pPr>
        <w:pStyle w:val="Heading1"/>
        <w:spacing w:after="130" w:before="260"/>
      </w:pPr>
      <w:r>
        <w:rPr>
          <w:rFonts w:ascii="Arial" w:cs="Arial" w:eastAsia="Arial" w:hAnsi="Arial"/>
          <w:b/>
          <w:bCs/>
          <w:color w:val="1F3864"/>
          <w:sz w:val="28"/>
          <w:szCs w:val="28"/>
        </w:rPr>
        <w:t xml:space="preserve">1. Document Control</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Access Control Policy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ISMS-ACP-001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Approved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IT Manager / Information Security Manager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CISO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Date of Issue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May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Next Review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May 2027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ISO 27001 Controls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A.5.15 Access control | A.5.16 Identity management | A.5.17 Authentication information | A.5.18 Access rights | A.8.2 Privileged access | A.8.3 Information access restriction | A.8.4 Source code access | A.8.5 Secure authentication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ISMS-POL-001 | ISMS-RRR-001 | ISMS-HRS-001 | ISMS-RSK-001 (R-007, R-008, R-009, R-010)</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2. Purpose and Scope</w:t>
      </w:r>
    </w:p>
    <w:p>
      <w:pPr>
        <w:spacing w:after="60" w:before="60"/>
      </w:pPr>
      <w:r>
        <w:rPr>
          <w:rFonts w:ascii="Arial" w:cs="Arial" w:eastAsia="Arial" w:hAnsi="Arial"/>
          <w:sz w:val="22"/>
          <w:szCs w:val="22"/>
        </w:rPr>
        <w:t xml:space="preserve">This policy defines the requirements for controlling access to [Organization Name] Co., Ltd.'s information assets, systems, applications, and facilities. It ensures access is granted on the basis of least privilege and business need-to-know, and that access rights are managed throughout the entire user lifecycle.</w:t>
      </w:r>
    </w:p>
    <w:p>
      <w:pPr>
        <w:spacing w:after="90" w:before="0"/>
      </w:pPr>
      <w:r>
        <w:t xml:space="preserve"/>
      </w:r>
    </w:p>
    <w:p>
      <w:pPr>
        <w:spacing w:after="60" w:before="60"/>
      </w:pPr>
      <w:r>
        <w:rPr>
          <w:rFonts w:ascii="Arial" w:cs="Arial" w:eastAsia="Arial" w:hAnsi="Arial"/>
          <w:sz w:val="22"/>
          <w:szCs w:val="22"/>
        </w:rPr>
        <w:t xml:space="preserve">This policy applies to all employees, contractors, and third parties who access any in-scope information system, application, network, or data asset — whether on-premise, cloud-hosted, or remotely accessed.</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3. Access Control Principles</w:t>
      </w:r>
    </w:p>
    <w:p>
      <w:pPr>
        <w:spacing w:after="60" w:before="60"/>
      </w:pPr>
      <w:r>
        <w:rPr>
          <w:rFonts w:ascii="Arial" w:cs="Arial" w:eastAsia="Arial" w:hAnsi="Arial"/>
          <w:sz w:val="22"/>
          <w:szCs w:val="22"/>
        </w:rPr>
        <w:t xml:space="preserve">All access to information assets shall be governed by the following principles:</w:t>
      </w:r>
    </w:p>
    <w:p>
      <w:pPr>
        <w:spacing w:after="90" w:before="0"/>
      </w:pPr>
      <w:r>
        <w:t xml:space="preserve"/>
      </w:r>
    </w:p>
    <w:p>
      <w:pPr>
        <w:pStyle w:val="ListParagraph"/>
        <w:numPr>
          <w:ilvl w:val="0"/>
          <w:numId w:val="2"/>
        </w:numPr>
        <w:spacing w:after="50" w:before="50"/>
      </w:pPr>
      <w:r>
        <w:rPr>
          <w:rFonts w:ascii="Arial" w:cs="Arial" w:eastAsia="Arial" w:hAnsi="Arial"/>
          <w:sz w:val="22"/>
          <w:szCs w:val="22"/>
        </w:rPr>
        <w:t xml:space="preserve">Least Privilege — users are granted the minimum access rights necessary to perform their job function, and no more</w:t>
      </w:r>
    </w:p>
    <w:p>
      <w:pPr>
        <w:pStyle w:val="ListParagraph"/>
        <w:numPr>
          <w:ilvl w:val="0"/>
          <w:numId w:val="2"/>
        </w:numPr>
        <w:spacing w:after="50" w:before="50"/>
      </w:pPr>
      <w:r>
        <w:rPr>
          <w:rFonts w:ascii="Arial" w:cs="Arial" w:eastAsia="Arial" w:hAnsi="Arial"/>
          <w:sz w:val="22"/>
          <w:szCs w:val="22"/>
        </w:rPr>
        <w:t xml:space="preserve">Need-to-Know — access to sensitive information is restricted to those with a documented business justification</w:t>
      </w:r>
    </w:p>
    <w:p>
      <w:pPr>
        <w:pStyle w:val="ListParagraph"/>
        <w:numPr>
          <w:ilvl w:val="0"/>
          <w:numId w:val="2"/>
        </w:numPr>
        <w:spacing w:after="50" w:before="50"/>
      </w:pPr>
      <w:r>
        <w:rPr>
          <w:rFonts w:ascii="Arial" w:cs="Arial" w:eastAsia="Arial" w:hAnsi="Arial"/>
          <w:sz w:val="22"/>
          <w:szCs w:val="22"/>
        </w:rPr>
        <w:t xml:space="preserve">Segregation of Duties — conflicting roles are separated to prevent fraud and error (e.g., access requester ≠ access approver, developer ≠ production deployer)</w:t>
      </w:r>
    </w:p>
    <w:p>
      <w:pPr>
        <w:pStyle w:val="ListParagraph"/>
        <w:numPr>
          <w:ilvl w:val="0"/>
          <w:numId w:val="2"/>
        </w:numPr>
        <w:spacing w:after="50" w:before="50"/>
      </w:pPr>
      <w:r>
        <w:rPr>
          <w:rFonts w:ascii="Arial" w:cs="Arial" w:eastAsia="Arial" w:hAnsi="Arial"/>
          <w:sz w:val="22"/>
          <w:szCs w:val="22"/>
        </w:rPr>
        <w:t xml:space="preserve">Default Deny — access is denied by default; explicit approval is required before access is granted</w:t>
      </w:r>
    </w:p>
    <w:p>
      <w:pPr>
        <w:pStyle w:val="ListParagraph"/>
        <w:numPr>
          <w:ilvl w:val="0"/>
          <w:numId w:val="2"/>
        </w:numPr>
        <w:spacing w:after="50" w:before="50"/>
      </w:pPr>
      <w:r>
        <w:rPr>
          <w:rFonts w:ascii="Arial" w:cs="Arial" w:eastAsia="Arial" w:hAnsi="Arial"/>
          <w:sz w:val="22"/>
          <w:szCs w:val="22"/>
        </w:rPr>
        <w:t xml:space="preserve">Individual Accountability — shared accounts are prohibited; every user has a unique, personal account to maintain audit trails</w:t>
      </w:r>
    </w:p>
    <w:p>
      <w:pPr>
        <w:pStyle w:val="ListParagraph"/>
        <w:numPr>
          <w:ilvl w:val="0"/>
          <w:numId w:val="2"/>
        </w:numPr>
        <w:spacing w:after="50" w:before="50"/>
      </w:pPr>
      <w:r>
        <w:rPr>
          <w:rFonts w:ascii="Arial" w:cs="Arial" w:eastAsia="Arial" w:hAnsi="Arial"/>
          <w:sz w:val="22"/>
          <w:szCs w:val="22"/>
        </w:rPr>
        <w:t xml:space="preserve">Time-Limited Access — temporary and contractor access is granted with an expiry date and auto-revoked upon expiry</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4. Access Control Policy Requirements</w:t>
      </w:r>
    </w:p>
    <w:p>
      <w:pPr>
        <w:pStyle w:val="Heading2"/>
        <w:spacing w:after="90" w:before="180"/>
      </w:pPr>
      <w:r>
        <w:rPr>
          <w:rFonts w:ascii="Arial" w:cs="Arial" w:eastAsia="Arial" w:hAnsi="Arial"/>
          <w:b/>
          <w:bCs/>
          <w:color w:val="2E75B6"/>
          <w:sz w:val="24"/>
          <w:szCs w:val="24"/>
        </w:rPr>
        <w:t xml:space="preserve">4.1 Identity Management (A.5.16)</w:t>
      </w:r>
    </w:p>
    <w:p>
      <w:pPr>
        <w:spacing w:after="60" w:before="60"/>
      </w:pPr>
      <w:r>
        <w:rPr>
          <w:rFonts w:ascii="Arial" w:cs="Arial" w:eastAsia="Arial" w:hAnsi="Arial"/>
          <w:sz w:val="22"/>
          <w:szCs w:val="22"/>
        </w:rPr>
        <w:t xml:space="preserve">The full identity lifecycle shall be managed as follows:</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Lifecycle Stage</w:t>
            </w:r>
          </w:p>
        </w:tc>
        <w:tc>
          <w:tcPr>
            <w:tcW w:type="dxa" w:w="53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Requirement</w:t>
            </w:r>
          </w:p>
        </w:tc>
        <w:tc>
          <w:tcPr>
            <w:tcW w:type="dxa" w:w="20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Evidence Required</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Provisioning</w:t>
            </w:r>
          </w:p>
        </w:tc>
        <w:tc>
          <w:tcPr>
            <w:tcW w:type="dxa" w:w="5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Access request submitted by line manager; approved by IT Manager; IS Manager notified for privileged access. Account created with minimum required permissions.</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Signed access request form</w:t>
            </w:r>
          </w:p>
        </w:tc>
      </w:tr>
      <w:tr>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Modification</w:t>
            </w:r>
          </w:p>
        </w:tc>
        <w:tc>
          <w:tcPr>
            <w:tcW w:type="dxa" w:w="53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Role change requests processed within 1 business day. Previous access revoked; new access provisioned. HR notifies IT of all role changes.</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Role change notification from HR</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Periodic Review</w:t>
            </w:r>
          </w:p>
        </w:tc>
        <w:tc>
          <w:tcPr>
            <w:tcW w:type="dxa" w:w="53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All user access rights reviewed quarterly. Dormant accounts (&gt;90 days inactive) disabled. Review documented and signed off by IT Manager.</w:t>
            </w:r>
          </w:p>
        </w:tc>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Quarterly access review sign-off</w:t>
            </w:r>
          </w:p>
        </w:tc>
      </w:tr>
      <w:tr>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Revocation</w:t>
            </w:r>
          </w:p>
        </w:tc>
        <w:tc>
          <w:tcPr>
            <w:tcW w:type="dxa" w:w="53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All access revoked within 4 hours of departure notification for resignations; immediately for terminations with cause. HR triggers notification via offboarding checklist.</w:t>
            </w:r>
          </w:p>
        </w:tc>
        <w:tc>
          <w:tcPr>
            <w:tcW w:type="dxa" w:w="20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HR offboarding checklist completion record</w:t>
            </w:r>
          </w:p>
        </w:tc>
      </w:tr>
    </w:tbl>
    <w:p>
      <w:pPr>
        <w:spacing w:after="180" w:before="0"/>
      </w:pPr>
      <w:r>
        <w:t xml:space="preserve"/>
      </w:r>
    </w:p>
    <w:p>
      <w:pPr>
        <w:pStyle w:val="Heading2"/>
        <w:spacing w:after="90" w:before="180"/>
      </w:pPr>
      <w:r>
        <w:rPr>
          <w:rFonts w:ascii="Arial" w:cs="Arial" w:eastAsia="Arial" w:hAnsi="Arial"/>
          <w:b/>
          <w:bCs/>
          <w:color w:val="2E75B6"/>
          <w:sz w:val="24"/>
          <w:szCs w:val="24"/>
        </w:rPr>
        <w:t xml:space="preserve">4.2 Authentication Requirements (A.5.17 | A.8.5)</w:t>
      </w:r>
    </w:p>
    <w:p>
      <w:pPr>
        <w:pStyle w:val="ListParagraph"/>
        <w:numPr>
          <w:ilvl w:val="0"/>
          <w:numId w:val="2"/>
        </w:numPr>
        <w:spacing w:after="50" w:before="50"/>
      </w:pPr>
      <w:r>
        <w:rPr>
          <w:rFonts w:ascii="Arial" w:cs="Arial" w:eastAsia="Arial" w:hAnsi="Arial"/>
          <w:sz w:val="22"/>
          <w:szCs w:val="22"/>
        </w:rPr>
        <w:t xml:space="preserve">Multi-Factor Authentication (MFA) is mandatory for: all cloud platform consoles, VPN remote access, email (O365/GSuite), privileged admin accounts, and all externally-facing applications</w:t>
      </w:r>
    </w:p>
    <w:p>
      <w:pPr>
        <w:pStyle w:val="ListParagraph"/>
        <w:numPr>
          <w:ilvl w:val="0"/>
          <w:numId w:val="2"/>
        </w:numPr>
        <w:spacing w:after="50" w:before="50"/>
      </w:pPr>
      <w:r>
        <w:rPr>
          <w:rFonts w:ascii="Arial" w:cs="Arial" w:eastAsia="Arial" w:hAnsi="Arial"/>
          <w:sz w:val="22"/>
          <w:szCs w:val="22"/>
        </w:rPr>
        <w:t xml:space="preserve">Passwords must meet minimum complexity: ≥12 characters, mix of upper/lower case, numbers, and symbols; no dictionary words</w:t>
      </w:r>
    </w:p>
    <w:p>
      <w:pPr>
        <w:pStyle w:val="ListParagraph"/>
        <w:numPr>
          <w:ilvl w:val="0"/>
          <w:numId w:val="2"/>
        </w:numPr>
        <w:spacing w:after="50" w:before="50"/>
      </w:pPr>
      <w:r>
        <w:rPr>
          <w:rFonts w:ascii="Arial" w:cs="Arial" w:eastAsia="Arial" w:hAnsi="Arial"/>
          <w:sz w:val="22"/>
          <w:szCs w:val="22"/>
        </w:rPr>
        <w:t xml:space="preserve">Password reuse is prohibited for the last 12 passwords</w:t>
      </w:r>
    </w:p>
    <w:p>
      <w:pPr>
        <w:pStyle w:val="ListParagraph"/>
        <w:numPr>
          <w:ilvl w:val="0"/>
          <w:numId w:val="2"/>
        </w:numPr>
        <w:spacing w:after="50" w:before="50"/>
      </w:pPr>
      <w:r>
        <w:rPr>
          <w:rFonts w:ascii="Arial" w:cs="Arial" w:eastAsia="Arial" w:hAnsi="Arial"/>
          <w:sz w:val="22"/>
          <w:szCs w:val="22"/>
        </w:rPr>
        <w:t xml:space="preserve">Passwords must be changed every 90 days for standard accounts; every 30 days for privileged accounts</w:t>
      </w:r>
    </w:p>
    <w:p>
      <w:pPr>
        <w:pStyle w:val="ListParagraph"/>
        <w:numPr>
          <w:ilvl w:val="0"/>
          <w:numId w:val="2"/>
        </w:numPr>
        <w:spacing w:after="50" w:before="50"/>
      </w:pPr>
      <w:r>
        <w:rPr>
          <w:rFonts w:ascii="Arial" w:cs="Arial" w:eastAsia="Arial" w:hAnsi="Arial"/>
          <w:sz w:val="22"/>
          <w:szCs w:val="22"/>
        </w:rPr>
        <w:t xml:space="preserve">Password sharing is strictly prohibited — each user maintains personal credentials</w:t>
      </w:r>
    </w:p>
    <w:p>
      <w:pPr>
        <w:pStyle w:val="ListParagraph"/>
        <w:numPr>
          <w:ilvl w:val="0"/>
          <w:numId w:val="2"/>
        </w:numPr>
        <w:spacing w:after="50" w:before="50"/>
      </w:pPr>
      <w:r>
        <w:rPr>
          <w:rFonts w:ascii="Arial" w:cs="Arial" w:eastAsia="Arial" w:hAnsi="Arial"/>
          <w:sz w:val="22"/>
          <w:szCs w:val="22"/>
        </w:rPr>
        <w:t xml:space="preserve">All users must use the Organization's approved password manager for credential storage</w:t>
      </w:r>
    </w:p>
    <w:p>
      <w:pPr>
        <w:pStyle w:val="ListParagraph"/>
        <w:numPr>
          <w:ilvl w:val="0"/>
          <w:numId w:val="2"/>
        </w:numPr>
        <w:spacing w:after="50" w:before="50"/>
      </w:pPr>
      <w:r>
        <w:rPr>
          <w:rFonts w:ascii="Arial" w:cs="Arial" w:eastAsia="Arial" w:hAnsi="Arial"/>
          <w:sz w:val="22"/>
          <w:szCs w:val="22"/>
        </w:rPr>
        <w:t xml:space="preserve">Default vendor passwords must be changed immediately upon system deployment</w:t>
      </w:r>
    </w:p>
    <w:p>
      <w:pPr>
        <w:pStyle w:val="ListParagraph"/>
        <w:numPr>
          <w:ilvl w:val="0"/>
          <w:numId w:val="2"/>
        </w:numPr>
        <w:spacing w:after="50" w:before="50"/>
      </w:pPr>
      <w:r>
        <w:rPr>
          <w:rFonts w:ascii="Arial" w:cs="Arial" w:eastAsia="Arial" w:hAnsi="Arial"/>
          <w:sz w:val="22"/>
          <w:szCs w:val="22"/>
        </w:rPr>
        <w:t xml:space="preserve">Single Sign-On (SSO) shall be implemented for all supported applications to reduce credential sprawl</w:t>
      </w:r>
    </w:p>
    <w:p>
      <w:pPr>
        <w:spacing w:after="180" w:before="0"/>
      </w:pPr>
      <w:r>
        <w:t xml:space="preserve"/>
      </w:r>
    </w:p>
    <w:p>
      <w:pPr>
        <w:pStyle w:val="Heading2"/>
        <w:spacing w:after="90" w:before="180"/>
      </w:pPr>
      <w:r>
        <w:rPr>
          <w:rFonts w:ascii="Arial" w:cs="Arial" w:eastAsia="Arial" w:hAnsi="Arial"/>
          <w:b/>
          <w:bCs/>
          <w:color w:val="2E75B6"/>
          <w:sz w:val="24"/>
          <w:szCs w:val="24"/>
        </w:rPr>
        <w:t xml:space="preserve">4.3 Privileged Access Management (A.8.2)</w:t>
      </w:r>
    </w:p>
    <w:p>
      <w:pPr>
        <w:spacing w:after="60" w:before="60"/>
      </w:pPr>
      <w:r>
        <w:rPr>
          <w:rFonts w:ascii="Arial" w:cs="Arial" w:eastAsia="Arial" w:hAnsi="Arial"/>
          <w:sz w:val="22"/>
          <w:szCs w:val="22"/>
        </w:rPr>
        <w:t xml:space="preserve">Privileged access (administrator, root, superuser, service accounts) carries elevated risk and is subject to enhanced controls:</w:t>
      </w:r>
    </w:p>
    <w:p>
      <w:pPr>
        <w:spacing w:after="90" w:before="0"/>
      </w:pPr>
      <w:r>
        <w:t xml:space="preserve"/>
      </w:r>
    </w:p>
    <w:p>
      <w:pPr>
        <w:pStyle w:val="ListParagraph"/>
        <w:numPr>
          <w:ilvl w:val="0"/>
          <w:numId w:val="2"/>
        </w:numPr>
        <w:spacing w:after="50" w:before="50"/>
      </w:pPr>
      <w:r>
        <w:rPr>
          <w:rFonts w:ascii="Arial" w:cs="Arial" w:eastAsia="Arial" w:hAnsi="Arial"/>
          <w:sz w:val="22"/>
          <w:szCs w:val="22"/>
        </w:rPr>
        <w:t xml:space="preserve">Privileged accounts must be separate from standard user accounts — no dual-use of admin accounts for routine tasks</w:t>
      </w:r>
    </w:p>
    <w:p>
      <w:pPr>
        <w:pStyle w:val="ListParagraph"/>
        <w:numPr>
          <w:ilvl w:val="0"/>
          <w:numId w:val="2"/>
        </w:numPr>
        <w:spacing w:after="50" w:before="50"/>
      </w:pPr>
      <w:r>
        <w:rPr>
          <w:rFonts w:ascii="Arial" w:cs="Arial" w:eastAsia="Arial" w:hAnsi="Arial"/>
          <w:sz w:val="22"/>
          <w:szCs w:val="22"/>
        </w:rPr>
        <w:t xml:space="preserve">Privileged accounts require MFA and session recording via Privileged Access Management (PAM) tooling</w:t>
      </w:r>
    </w:p>
    <w:p>
      <w:pPr>
        <w:pStyle w:val="ListParagraph"/>
        <w:numPr>
          <w:ilvl w:val="0"/>
          <w:numId w:val="2"/>
        </w:numPr>
        <w:spacing w:after="50" w:before="50"/>
      </w:pPr>
      <w:r>
        <w:rPr>
          <w:rFonts w:ascii="Arial" w:cs="Arial" w:eastAsia="Arial" w:hAnsi="Arial"/>
          <w:sz w:val="22"/>
          <w:szCs w:val="22"/>
        </w:rPr>
        <w:t xml:space="preserve">Just-in-time (JIT) privileged access shall be implemented — elevated rights granted only for the duration of the task</w:t>
      </w:r>
    </w:p>
    <w:p>
      <w:pPr>
        <w:pStyle w:val="ListParagraph"/>
        <w:numPr>
          <w:ilvl w:val="0"/>
          <w:numId w:val="2"/>
        </w:numPr>
        <w:spacing w:after="50" w:before="50"/>
      </w:pPr>
      <w:r>
        <w:rPr>
          <w:rFonts w:ascii="Arial" w:cs="Arial" w:eastAsia="Arial" w:hAnsi="Arial"/>
          <w:sz w:val="22"/>
          <w:szCs w:val="22"/>
        </w:rPr>
        <w:t xml:space="preserve">All privileged sessions shall be logged and retained for a minimum of 12 months</w:t>
      </w:r>
    </w:p>
    <w:p>
      <w:pPr>
        <w:pStyle w:val="ListParagraph"/>
        <w:numPr>
          <w:ilvl w:val="0"/>
          <w:numId w:val="2"/>
        </w:numPr>
        <w:spacing w:after="50" w:before="50"/>
      </w:pPr>
      <w:r>
        <w:rPr>
          <w:rFonts w:ascii="Arial" w:cs="Arial" w:eastAsia="Arial" w:hAnsi="Arial"/>
          <w:sz w:val="22"/>
          <w:szCs w:val="22"/>
        </w:rPr>
        <w:t xml:space="preserve">Privileged account holders shall be reviewed monthly; any account with no activity in 30 days shall be disabled</w:t>
      </w:r>
    </w:p>
    <w:p>
      <w:pPr>
        <w:pStyle w:val="ListParagraph"/>
        <w:numPr>
          <w:ilvl w:val="0"/>
          <w:numId w:val="2"/>
        </w:numPr>
        <w:spacing w:after="50" w:before="50"/>
      </w:pPr>
      <w:r>
        <w:rPr>
          <w:rFonts w:ascii="Arial" w:cs="Arial" w:eastAsia="Arial" w:hAnsi="Arial"/>
          <w:sz w:val="22"/>
          <w:szCs w:val="22"/>
        </w:rPr>
        <w:t xml:space="preserve">Service accounts shall use strong, complex passwords rotated every 90 days; stored in approved secrets management tool</w:t>
      </w:r>
    </w:p>
    <w:p>
      <w:pPr>
        <w:pStyle w:val="ListParagraph"/>
        <w:numPr>
          <w:ilvl w:val="0"/>
          <w:numId w:val="2"/>
        </w:numPr>
        <w:spacing w:after="50" w:before="50"/>
      </w:pPr>
      <w:r>
        <w:rPr>
          <w:rFonts w:ascii="Arial" w:cs="Arial" w:eastAsia="Arial" w:hAnsi="Arial"/>
          <w:sz w:val="22"/>
          <w:szCs w:val="22"/>
        </w:rPr>
        <w:t xml:space="preserve">Emergency/break-glass accounts shall be sealed, dual-custody, and usage logged and reviewed immediately</w:t>
      </w:r>
    </w:p>
    <w:p>
      <w:pPr>
        <w:spacing w:after="180" w:before="0"/>
      </w:pPr>
      <w:r>
        <w:t xml:space="preserve"/>
      </w:r>
    </w:p>
    <w:p>
      <w:pPr>
        <w:pStyle w:val="Heading2"/>
        <w:spacing w:after="90" w:before="180"/>
      </w:pPr>
      <w:r>
        <w:rPr>
          <w:rFonts w:ascii="Arial" w:cs="Arial" w:eastAsia="Arial" w:hAnsi="Arial"/>
          <w:b/>
          <w:bCs/>
          <w:color w:val="2E75B6"/>
          <w:sz w:val="24"/>
          <w:szCs w:val="24"/>
        </w:rPr>
        <w:t xml:space="preserve">4.4 Access Rights Management (A.5.18)</w:t>
      </w:r>
    </w:p>
    <w:p>
      <w:pPr>
        <w:spacing w:after="60" w:before="60"/>
      </w:pPr>
      <w:r>
        <w:rPr>
          <w:rFonts w:ascii="Arial" w:cs="Arial" w:eastAsia="Arial" w:hAnsi="Arial"/>
          <w:sz w:val="22"/>
          <w:szCs w:val="22"/>
        </w:rPr>
        <w:t xml:space="preserve">Access rights shall be formally managed throughout the user lifecycle:</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Requirement</w:t>
            </w:r>
          </w:p>
        </w:tc>
        <w:tc>
          <w:tcPr>
            <w:tcW w:type="dxa" w:w="39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Standard</w:t>
            </w:r>
          </w:p>
        </w:tc>
        <w:tc>
          <w:tcPr>
            <w:tcW w:type="dxa" w:w="32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Privileged Access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Approval authority</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Line manager + IT Manager</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CISO approval required</w:t>
            </w:r>
          </w:p>
        </w:tc>
      </w:tr>
      <w:tr>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Maximum access duration</w:t>
            </w:r>
          </w:p>
        </w:tc>
        <w:tc>
          <w:tcPr>
            <w:tcW w:type="dxa" w:w="39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Until role change or termination</w:t>
            </w:r>
          </w:p>
        </w:tc>
        <w:tc>
          <w:tcPr>
            <w:tcW w:type="dxa" w:w="3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90 days; renewed via formal request</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Review frequency</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Quarterly</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Monthly</w:t>
            </w:r>
          </w:p>
        </w:tc>
      </w:tr>
      <w:tr>
        <w:tc>
          <w:tcPr>
            <w:tcW w:type="dxa" w:w="2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7"/>
                <w:szCs w:val="17"/>
              </w:rPr>
              <w:t xml:space="preserve">Contractor access expiry</w:t>
            </w:r>
          </w:p>
        </w:tc>
        <w:tc>
          <w:tcPr>
            <w:tcW w:type="dxa" w:w="396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Set at onboarding; auto-expire on contract end date</w:t>
            </w:r>
          </w:p>
        </w:tc>
        <w:tc>
          <w:tcPr>
            <w:tcW w:type="dxa" w:w="32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sz w:val="17"/>
                <w:szCs w:val="17"/>
              </w:rPr>
              <w:t xml:space="preserve">30 days maximum; renewed by exception only</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7"/>
                <w:szCs w:val="17"/>
              </w:rPr>
              <w:t xml:space="preserve">Emergency access</w:t>
            </w:r>
          </w:p>
        </w:tc>
        <w:tc>
          <w:tcPr>
            <w:tcW w:type="dxa" w:w="396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N/A</w:t>
            </w:r>
          </w:p>
        </w:tc>
        <w:tc>
          <w:tcPr>
            <w:tcW w:type="dxa" w:w="3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sz w:val="17"/>
                <w:szCs w:val="17"/>
              </w:rPr>
              <w:t xml:space="preserve">Break-glass procedure; dual custody; usage reviewed within 24 hours</w:t>
            </w:r>
          </w:p>
        </w:tc>
      </w:tr>
    </w:tbl>
    <w:p>
      <w:pPr>
        <w:spacing w:after="180" w:before="0"/>
      </w:pPr>
      <w:r>
        <w:t xml:space="preserve"/>
      </w:r>
    </w:p>
    <w:p>
      <w:pPr>
        <w:pStyle w:val="Heading2"/>
        <w:spacing w:after="90" w:before="180"/>
      </w:pPr>
      <w:r>
        <w:rPr>
          <w:rFonts w:ascii="Arial" w:cs="Arial" w:eastAsia="Arial" w:hAnsi="Arial"/>
          <w:b/>
          <w:bCs/>
          <w:color w:val="2E75B6"/>
          <w:sz w:val="24"/>
          <w:szCs w:val="24"/>
        </w:rPr>
        <w:t xml:space="preserve">4.5 Source Code Access (A.8.4)</w:t>
      </w:r>
    </w:p>
    <w:p>
      <w:pPr>
        <w:pStyle w:val="ListParagraph"/>
        <w:numPr>
          <w:ilvl w:val="0"/>
          <w:numId w:val="2"/>
        </w:numPr>
        <w:spacing w:after="50" w:before="50"/>
      </w:pPr>
      <w:r>
        <w:rPr>
          <w:rFonts w:ascii="Arial" w:cs="Arial" w:eastAsia="Arial" w:hAnsi="Arial"/>
          <w:sz w:val="22"/>
          <w:szCs w:val="22"/>
        </w:rPr>
        <w:t xml:space="preserve">Access to source code repositories is restricted to members of the development team with explicit assignment</w:t>
      </w:r>
    </w:p>
    <w:p>
      <w:pPr>
        <w:pStyle w:val="ListParagraph"/>
        <w:numPr>
          <w:ilvl w:val="0"/>
          <w:numId w:val="2"/>
        </w:numPr>
        <w:spacing w:after="50" w:before="50"/>
      </w:pPr>
      <w:r>
        <w:rPr>
          <w:rFonts w:ascii="Arial" w:cs="Arial" w:eastAsia="Arial" w:hAnsi="Arial"/>
          <w:sz w:val="22"/>
          <w:szCs w:val="22"/>
        </w:rPr>
        <w:t xml:space="preserve">Read-only access may be granted to additional roles (e.g., IS Manager, Lead Architect) with CISO approval</w:t>
      </w:r>
    </w:p>
    <w:p>
      <w:pPr>
        <w:pStyle w:val="ListParagraph"/>
        <w:numPr>
          <w:ilvl w:val="0"/>
          <w:numId w:val="2"/>
        </w:numPr>
        <w:spacing w:after="50" w:before="50"/>
      </w:pPr>
      <w:r>
        <w:rPr>
          <w:rFonts w:ascii="Arial" w:cs="Arial" w:eastAsia="Arial" w:hAnsi="Arial"/>
          <w:sz w:val="22"/>
          <w:szCs w:val="22"/>
        </w:rPr>
        <w:t xml:space="preserve">All commits must be signed; force-push to protected branches is prohibited</w:t>
      </w:r>
    </w:p>
    <w:p>
      <w:pPr>
        <w:pStyle w:val="ListParagraph"/>
        <w:numPr>
          <w:ilvl w:val="0"/>
          <w:numId w:val="2"/>
        </w:numPr>
        <w:spacing w:after="50" w:before="50"/>
      </w:pPr>
      <w:r>
        <w:rPr>
          <w:rFonts w:ascii="Arial" w:cs="Arial" w:eastAsia="Arial" w:hAnsi="Arial"/>
          <w:sz w:val="22"/>
          <w:szCs w:val="22"/>
        </w:rPr>
        <w:t xml:space="preserve">Code review is mandatory before merging to main/master or production branches</w:t>
      </w:r>
    </w:p>
    <w:p>
      <w:pPr>
        <w:pStyle w:val="ListParagraph"/>
        <w:numPr>
          <w:ilvl w:val="0"/>
          <w:numId w:val="2"/>
        </w:numPr>
        <w:spacing w:after="50" w:before="50"/>
      </w:pPr>
      <w:r>
        <w:rPr>
          <w:rFonts w:ascii="Arial" w:cs="Arial" w:eastAsia="Arial" w:hAnsi="Arial"/>
          <w:sz w:val="22"/>
          <w:szCs w:val="22"/>
        </w:rPr>
        <w:t xml:space="preserve">No production credentials, API keys, or secrets may be stored in source code repositories</w:t>
      </w:r>
    </w:p>
    <w:p>
      <w:pPr>
        <w:pStyle w:val="ListParagraph"/>
        <w:numPr>
          <w:ilvl w:val="0"/>
          <w:numId w:val="2"/>
        </w:numPr>
        <w:spacing w:after="50" w:before="50"/>
      </w:pPr>
      <w:r>
        <w:rPr>
          <w:rFonts w:ascii="Arial" w:cs="Arial" w:eastAsia="Arial" w:hAnsi="Arial"/>
          <w:sz w:val="22"/>
          <w:szCs w:val="22"/>
        </w:rPr>
        <w:t xml:space="preserve">Repository access is reviewed quarterly; access is removed within 1 business day of role change</w:t>
      </w:r>
    </w:p>
    <w:p>
      <w:pPr>
        <w:spacing w:after="180" w:before="0"/>
      </w:pPr>
      <w:r>
        <w:t xml:space="preserve"/>
      </w:r>
    </w:p>
    <w:p>
      <w:pPr>
        <w:pStyle w:val="Heading2"/>
        <w:spacing w:after="90" w:before="180"/>
      </w:pPr>
      <w:r>
        <w:rPr>
          <w:rFonts w:ascii="Arial" w:cs="Arial" w:eastAsia="Arial" w:hAnsi="Arial"/>
          <w:b/>
          <w:bCs/>
          <w:color w:val="2E75B6"/>
          <w:sz w:val="24"/>
          <w:szCs w:val="24"/>
        </w:rPr>
        <w:t xml:space="preserve">4.6 Remote Working &amp; VPN Access (A.6.7)</w:t>
      </w:r>
    </w:p>
    <w:p>
      <w:pPr>
        <w:pStyle w:val="ListParagraph"/>
        <w:numPr>
          <w:ilvl w:val="0"/>
          <w:numId w:val="2"/>
        </w:numPr>
        <w:spacing w:after="50" w:before="50"/>
      </w:pPr>
      <w:r>
        <w:rPr>
          <w:rFonts w:ascii="Arial" w:cs="Arial" w:eastAsia="Arial" w:hAnsi="Arial"/>
          <w:sz w:val="22"/>
          <w:szCs w:val="22"/>
        </w:rPr>
        <w:t xml:space="preserve">Remote access to organizational systems is permitted only via the approved VPN solution</w:t>
      </w:r>
    </w:p>
    <w:p>
      <w:pPr>
        <w:pStyle w:val="ListParagraph"/>
        <w:numPr>
          <w:ilvl w:val="0"/>
          <w:numId w:val="2"/>
        </w:numPr>
        <w:spacing w:after="50" w:before="50"/>
      </w:pPr>
      <w:r>
        <w:rPr>
          <w:rFonts w:ascii="Arial" w:cs="Arial" w:eastAsia="Arial" w:hAnsi="Arial"/>
          <w:sz w:val="22"/>
          <w:szCs w:val="22"/>
        </w:rPr>
        <w:t xml:space="preserve">MFA is mandatory for all VPN connections</w:t>
      </w:r>
    </w:p>
    <w:p>
      <w:pPr>
        <w:pStyle w:val="ListParagraph"/>
        <w:numPr>
          <w:ilvl w:val="0"/>
          <w:numId w:val="2"/>
        </w:numPr>
        <w:spacing w:after="50" w:before="50"/>
      </w:pPr>
      <w:r>
        <w:rPr>
          <w:rFonts w:ascii="Arial" w:cs="Arial" w:eastAsia="Arial" w:hAnsi="Arial"/>
          <w:sz w:val="22"/>
          <w:szCs w:val="22"/>
        </w:rPr>
        <w:t xml:space="preserve">Split tunnelling is prohibited — all traffic is routed through the corporate VPN when connected</w:t>
      </w:r>
    </w:p>
    <w:p>
      <w:pPr>
        <w:pStyle w:val="ListParagraph"/>
        <w:numPr>
          <w:ilvl w:val="0"/>
          <w:numId w:val="2"/>
        </w:numPr>
        <w:spacing w:after="50" w:before="50"/>
      </w:pPr>
      <w:r>
        <w:rPr>
          <w:rFonts w:ascii="Arial" w:cs="Arial" w:eastAsia="Arial" w:hAnsi="Arial"/>
          <w:sz w:val="22"/>
          <w:szCs w:val="22"/>
        </w:rPr>
        <w:t xml:space="preserve">Remote workers must ensure their home network is protected by a firewall and WPA2/3 encryption</w:t>
      </w:r>
    </w:p>
    <w:p>
      <w:pPr>
        <w:pStyle w:val="ListParagraph"/>
        <w:numPr>
          <w:ilvl w:val="0"/>
          <w:numId w:val="2"/>
        </w:numPr>
        <w:spacing w:after="50" w:before="50"/>
      </w:pPr>
      <w:r>
        <w:rPr>
          <w:rFonts w:ascii="Arial" w:cs="Arial" w:eastAsia="Arial" w:hAnsi="Arial"/>
          <w:sz w:val="22"/>
          <w:szCs w:val="22"/>
        </w:rPr>
        <w:t xml:space="preserve">Public or unsecured WiFi may not be used to access organizational systems without active VPN connection</w:t>
      </w:r>
    </w:p>
    <w:p>
      <w:pPr>
        <w:pStyle w:val="ListParagraph"/>
        <w:numPr>
          <w:ilvl w:val="0"/>
          <w:numId w:val="2"/>
        </w:numPr>
        <w:spacing w:after="50" w:before="50"/>
      </w:pPr>
      <w:r>
        <w:rPr>
          <w:rFonts w:ascii="Arial" w:cs="Arial" w:eastAsia="Arial" w:hAnsi="Arial"/>
          <w:sz w:val="22"/>
          <w:szCs w:val="22"/>
        </w:rPr>
        <w:t xml:space="preserve">Remote working devices must comply with the endpoint security requirements of this policy</w:t>
      </w:r>
    </w:p>
    <w:p>
      <w:pPr>
        <w:spacing w:after="180" w:before="0"/>
      </w:pPr>
      <w:r>
        <w:t xml:space="preserve"/>
      </w:r>
    </w:p>
    <w:p>
      <w:pPr>
        <w:pStyle w:val="Heading2"/>
        <w:spacing w:after="90" w:before="180"/>
      </w:pPr>
      <w:r>
        <w:rPr>
          <w:rFonts w:ascii="Arial" w:cs="Arial" w:eastAsia="Arial" w:hAnsi="Arial"/>
          <w:b/>
          <w:bCs/>
          <w:color w:val="2E75B6"/>
          <w:sz w:val="24"/>
          <w:szCs w:val="24"/>
        </w:rPr>
        <w:t xml:space="preserve">4.7 Third-Party and Supplier Access</w:t>
      </w:r>
    </w:p>
    <w:p>
      <w:pPr>
        <w:pStyle w:val="ListParagraph"/>
        <w:numPr>
          <w:ilvl w:val="0"/>
          <w:numId w:val="2"/>
        </w:numPr>
        <w:spacing w:after="50" w:before="50"/>
      </w:pPr>
      <w:r>
        <w:rPr>
          <w:rFonts w:ascii="Arial" w:cs="Arial" w:eastAsia="Arial" w:hAnsi="Arial"/>
          <w:sz w:val="22"/>
          <w:szCs w:val="22"/>
        </w:rPr>
        <w:t xml:space="preserve">Third-party access is subject to the same access control principles as employees</w:t>
      </w:r>
    </w:p>
    <w:p>
      <w:pPr>
        <w:pStyle w:val="ListParagraph"/>
        <w:numPr>
          <w:ilvl w:val="0"/>
          <w:numId w:val="2"/>
        </w:numPr>
        <w:spacing w:after="50" w:before="50"/>
      </w:pPr>
      <w:r>
        <w:rPr>
          <w:rFonts w:ascii="Arial" w:cs="Arial" w:eastAsia="Arial" w:hAnsi="Arial"/>
          <w:sz w:val="22"/>
          <w:szCs w:val="22"/>
        </w:rPr>
        <w:t xml:space="preserve">All third-party access must be approved by the system owner and CISO; documented in the supplier register</w:t>
      </w:r>
    </w:p>
    <w:p>
      <w:pPr>
        <w:pStyle w:val="ListParagraph"/>
        <w:numPr>
          <w:ilvl w:val="0"/>
          <w:numId w:val="2"/>
        </w:numPr>
        <w:spacing w:after="50" w:before="50"/>
      </w:pPr>
      <w:r>
        <w:rPr>
          <w:rFonts w:ascii="Arial" w:cs="Arial" w:eastAsia="Arial" w:hAnsi="Arial"/>
          <w:sz w:val="22"/>
          <w:szCs w:val="22"/>
        </w:rPr>
        <w:t xml:space="preserve">Third-party accounts are time-limited, scoped to the minimum systems required, and auto-expire</w:t>
      </w:r>
    </w:p>
    <w:p>
      <w:pPr>
        <w:pStyle w:val="ListParagraph"/>
        <w:numPr>
          <w:ilvl w:val="0"/>
          <w:numId w:val="2"/>
        </w:numPr>
        <w:spacing w:after="50" w:before="50"/>
      </w:pPr>
      <w:r>
        <w:rPr>
          <w:rFonts w:ascii="Arial" w:cs="Arial" w:eastAsia="Arial" w:hAnsi="Arial"/>
          <w:sz w:val="22"/>
          <w:szCs w:val="22"/>
        </w:rPr>
        <w:t xml:space="preserve">Third-party remote access sessions shall be monitored and logged</w:t>
      </w:r>
    </w:p>
    <w:p>
      <w:pPr>
        <w:pStyle w:val="ListParagraph"/>
        <w:numPr>
          <w:ilvl w:val="0"/>
          <w:numId w:val="2"/>
        </w:numPr>
        <w:spacing w:after="50" w:before="50"/>
      </w:pPr>
      <w:r>
        <w:rPr>
          <w:rFonts w:ascii="Arial" w:cs="Arial" w:eastAsia="Arial" w:hAnsi="Arial"/>
          <w:sz w:val="22"/>
          <w:szCs w:val="22"/>
        </w:rPr>
        <w:t xml:space="preserve">Access is revoked immediately upon contract completion or termination</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5. Access Control Matrix — System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400"/>
        <w:gridCol w:w="1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System / Resource</w:t>
            </w:r>
          </w:p>
        </w:tc>
        <w:tc>
          <w:tcPr>
            <w:tcW w:type="dxa" w:w="16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All Staff</w:t>
            </w:r>
          </w:p>
        </w:tc>
        <w:tc>
          <w:tcPr>
            <w:tcW w:type="dxa" w:w="16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Department Staff</w:t>
            </w:r>
          </w:p>
        </w:tc>
        <w:tc>
          <w:tcPr>
            <w:tcW w:type="dxa" w:w="16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IT Admin</w:t>
            </w:r>
          </w:p>
        </w:tc>
        <w:tc>
          <w:tcPr>
            <w:tcW w:type="dxa" w:w="140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CISO / IS Mgr</w:t>
            </w:r>
          </w:p>
        </w:tc>
        <w:tc>
          <w:tcPr>
            <w:tcW w:type="dxa" w:w="1360"/>
            <w:tcBorders>
              <w:top w:val="single" w:color="CCCCCC" w:sz="1"/>
              <w:left w:val="single" w:color="CCCCCC" w:sz="1"/>
              <w:bottom w:val="single" w:color="CCCCCC" w:sz="1"/>
              <w:right w:val="single" w:color="CCCCCC" w:sz="1"/>
            </w:tcBorders>
            <w:shd w:fill="2E75B6" w:val="clear"/>
            <w:tcMar>
              <w:top w:type="dxa" w:w="70"/>
              <w:left w:type="dxa" w:w="90"/>
              <w:bottom w:type="dxa" w:w="70"/>
              <w:right w:type="dxa" w:w="70"/>
            </w:tcMar>
          </w:tcPr>
          <w:p>
            <w:pPr>
              <w:jc w:val="center"/>
            </w:pPr>
            <w:r>
              <w:rPr>
                <w:rFonts w:ascii="Arial" w:cs="Arial" w:eastAsia="Arial" w:hAnsi="Arial"/>
                <w:b/>
                <w:bCs/>
                <w:color w:val="FFFFFF"/>
                <w:sz w:val="17"/>
                <w:szCs w:val="17"/>
              </w:rPr>
              <w:t xml:space="preserve">Third Parties</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Corporate email / O365</w:t>
            </w:r>
          </w:p>
        </w:tc>
        <w:tc>
          <w:tcPr>
            <w:tcW w:type="dxa" w:w="16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Read/Write</w:t>
            </w:r>
          </w:p>
        </w:tc>
        <w:tc>
          <w:tcPr>
            <w:tcW w:type="dxa" w:w="16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Read/Write</w:t>
            </w:r>
          </w:p>
        </w:tc>
        <w:tc>
          <w:tcPr>
            <w:tcW w:type="dxa" w:w="16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Admin</w:t>
            </w:r>
          </w:p>
        </w:tc>
        <w:tc>
          <w:tcPr>
            <w:tcW w:type="dxa" w:w="14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Admin</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File shares — Internal</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Read only</w:t>
            </w:r>
          </w:p>
        </w:tc>
        <w:tc>
          <w:tcPr>
            <w:tcW w:type="dxa" w:w="16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Read/Write (dept)</w:t>
            </w:r>
          </w:p>
        </w:tc>
        <w:tc>
          <w:tcPr>
            <w:tcW w:type="dxa" w:w="16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Full admin</w:t>
            </w:r>
          </w:p>
        </w:tc>
        <w:tc>
          <w:tcPr>
            <w:tcW w:type="dxa" w:w="14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Read/Write</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File shares — Confidential</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Approved users only</w:t>
            </w:r>
          </w:p>
        </w:tc>
        <w:tc>
          <w:tcPr>
            <w:tcW w:type="dxa" w:w="16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Full admin</w:t>
            </w:r>
          </w:p>
        </w:tc>
        <w:tc>
          <w:tcPr>
            <w:tcW w:type="dxa" w:w="14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Full access</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Source code repositories</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Dev team only</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Read only</w:t>
            </w:r>
          </w:p>
        </w:tc>
        <w:tc>
          <w:tcPr>
            <w:tcW w:type="dxa" w:w="14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Read only</w:t>
            </w:r>
          </w:p>
        </w:tc>
        <w:tc>
          <w:tcPr>
            <w:tcW w:type="dxa" w:w="136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Dev lead approval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Production servers</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Full admin</w:t>
            </w:r>
          </w:p>
        </w:tc>
        <w:tc>
          <w:tcPr>
            <w:tcW w:type="dxa" w:w="14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Audit access</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Cloud management console</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Full admin</w:t>
            </w:r>
          </w:p>
        </w:tc>
        <w:tc>
          <w:tcPr>
            <w:tcW w:type="dxa" w:w="14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Audit access</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HR systems (Payroll/HRMS)</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Self-service only</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HR team only</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DB admin only</w:t>
            </w:r>
          </w:p>
        </w:tc>
        <w:tc>
          <w:tcPr>
            <w:tcW w:type="dxa" w:w="14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Audit only</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Financial systems</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Self-service only</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Finance team only</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DB admin only</w:t>
            </w:r>
          </w:p>
        </w:tc>
        <w:tc>
          <w:tcPr>
            <w:tcW w:type="dxa" w:w="14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Audit only</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70"/>
            </w:tcMar>
          </w:tcPr>
          <w:p>
            <w:r>
              <w:rPr>
                <w:rFonts w:ascii="Arial" w:cs="Arial" w:eastAsia="Arial" w:hAnsi="Arial"/>
                <w:b/>
                <w:bCs/>
                <w:sz w:val="16"/>
                <w:szCs w:val="16"/>
              </w:rPr>
              <w:t xml:space="preserve">CRM / Client data</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Sales/Account Mgrs</w:t>
            </w:r>
          </w:p>
        </w:tc>
        <w:tc>
          <w:tcPr>
            <w:tcW w:type="dxa" w:w="1600"/>
            <w:tcBorders>
              <w:top w:val="single" w:color="CCCCCC" w:sz="1"/>
              <w:left w:val="single" w:color="CCCCCC" w:sz="1"/>
              <w:bottom w:val="single" w:color="CCCCCC" w:sz="1"/>
              <w:right w:val="single" w:color="CCCCCC" w:sz="1"/>
            </w:tcBorders>
            <w:shd w:fill="E6F1FB" w:val="clear"/>
            <w:tcMar>
              <w:top w:type="dxa" w:w="50"/>
              <w:left w:type="dxa" w:w="70"/>
              <w:bottom w:type="dxa" w:w="50"/>
              <w:right w:type="dxa" w:w="60"/>
            </w:tcMar>
          </w:tcPr>
          <w:p>
            <w:pPr>
              <w:jc w:val="center"/>
            </w:pPr>
            <w:r>
              <w:rPr>
                <w:rFonts w:ascii="Arial" w:cs="Arial" w:eastAsia="Arial" w:hAnsi="Arial"/>
                <w:color w:val="0C447C"/>
                <w:sz w:val="15"/>
                <w:szCs w:val="15"/>
              </w:rPr>
              <w:t xml:space="preserve">Read only</w:t>
            </w:r>
          </w:p>
        </w:tc>
        <w:tc>
          <w:tcPr>
            <w:tcW w:type="dxa" w:w="14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Audit access</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r>
        <w:tc>
          <w:tcPr>
            <w:tcW w:type="dxa" w:w="1800"/>
            <w:tcBorders>
              <w:top w:val="single" w:color="CCCCCC" w:sz="1"/>
              <w:left w:val="single" w:color="CCCCCC" w:sz="1"/>
              <w:bottom w:val="single" w:color="CCCCCC" w:sz="1"/>
              <w:right w:val="single" w:color="CCCCCC" w:sz="1"/>
            </w:tcBorders>
            <w:shd w:fill="F2F2F2" w:val="clear"/>
            <w:tcMar>
              <w:top w:type="dxa" w:w="55"/>
              <w:left w:type="dxa" w:w="90"/>
              <w:bottom w:type="dxa" w:w="55"/>
              <w:right w:type="dxa" w:w="70"/>
            </w:tcMar>
          </w:tcPr>
          <w:p>
            <w:r>
              <w:rPr>
                <w:rFonts w:ascii="Arial" w:cs="Arial" w:eastAsia="Arial" w:hAnsi="Arial"/>
                <w:b/>
                <w:bCs/>
                <w:sz w:val="16"/>
                <w:szCs w:val="16"/>
              </w:rPr>
              <w:t xml:space="preserve">Network devices / Firewall</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c>
          <w:tcPr>
            <w:tcW w:type="dxa" w:w="1600"/>
            <w:tcBorders>
              <w:top w:val="single" w:color="CCCCCC" w:sz="1"/>
              <w:left w:val="single" w:color="CCCCCC" w:sz="1"/>
              <w:bottom w:val="single" w:color="CCCCCC" w:sz="1"/>
              <w:right w:val="single" w:color="CCCCCC" w:sz="1"/>
            </w:tcBorders>
            <w:shd w:fill="FAEEDA" w:val="clear"/>
            <w:tcMar>
              <w:top w:type="dxa" w:w="50"/>
              <w:left w:type="dxa" w:w="70"/>
              <w:bottom w:type="dxa" w:w="50"/>
              <w:right w:type="dxa" w:w="60"/>
            </w:tcMar>
          </w:tcPr>
          <w:p>
            <w:pPr>
              <w:jc w:val="center"/>
            </w:pPr>
            <w:r>
              <w:rPr>
                <w:rFonts w:ascii="Arial" w:cs="Arial" w:eastAsia="Arial" w:hAnsi="Arial"/>
                <w:color w:val="633806"/>
                <w:sz w:val="15"/>
                <w:szCs w:val="15"/>
              </w:rPr>
              <w:t xml:space="preserve">Full admin</w:t>
            </w:r>
          </w:p>
        </w:tc>
        <w:tc>
          <w:tcPr>
            <w:tcW w:type="dxa" w:w="1400"/>
            <w:tcBorders>
              <w:top w:val="single" w:color="CCCCCC" w:sz="1"/>
              <w:left w:val="single" w:color="CCCCCC" w:sz="1"/>
              <w:bottom w:val="single" w:color="CCCCCC" w:sz="1"/>
              <w:right w:val="single" w:color="CCCCCC" w:sz="1"/>
            </w:tcBorders>
            <w:shd w:fill="D6F5E8" w:val="clear"/>
            <w:tcMar>
              <w:top w:type="dxa" w:w="50"/>
              <w:left w:type="dxa" w:w="70"/>
              <w:bottom w:type="dxa" w:w="50"/>
              <w:right w:type="dxa" w:w="60"/>
            </w:tcMar>
          </w:tcPr>
          <w:p>
            <w:pPr>
              <w:jc w:val="center"/>
            </w:pPr>
            <w:r>
              <w:rPr>
                <w:rFonts w:ascii="Arial" w:cs="Arial" w:eastAsia="Arial" w:hAnsi="Arial"/>
                <w:color w:val="085041"/>
                <w:sz w:val="15"/>
                <w:szCs w:val="15"/>
              </w:rPr>
              <w:t xml:space="preserve">Audit access</w:t>
            </w:r>
          </w:p>
        </w:tc>
        <w:tc>
          <w:tcPr>
            <w:tcW w:type="dxa" w:w="1360"/>
            <w:tcBorders>
              <w:top w:val="single" w:color="CCCCCC" w:sz="1"/>
              <w:left w:val="single" w:color="CCCCCC" w:sz="1"/>
              <w:bottom w:val="single" w:color="CCCCCC" w:sz="1"/>
              <w:right w:val="single" w:color="CCCCCC" w:sz="1"/>
            </w:tcBorders>
            <w:shd w:fill="FAECE7" w:val="clear"/>
            <w:tcMar>
              <w:top w:type="dxa" w:w="50"/>
              <w:left w:type="dxa" w:w="70"/>
              <w:bottom w:type="dxa" w:w="50"/>
              <w:right w:type="dxa" w:w="60"/>
            </w:tcMar>
          </w:tcPr>
          <w:p>
            <w:pPr>
              <w:jc w:val="center"/>
            </w:pPr>
            <w:r>
              <w:rPr>
                <w:rFonts w:ascii="Arial" w:cs="Arial" w:eastAsia="Arial" w:hAnsi="Arial"/>
                <w:color w:val="993C1D"/>
                <w:sz w:val="15"/>
                <w:szCs w:val="15"/>
              </w:rPr>
              <w:t xml:space="preserve">No access</w:t>
            </w:r>
          </w:p>
        </w:tc>
      </w:tr>
    </w:tbl>
    <w:p>
      <w:pPr>
        <w:spacing w:after="180" w:before="0"/>
      </w:pPr>
      <w:r>
        <w:t xml:space="preserve"/>
      </w:r>
    </w:p>
    <w:p>
      <w:pPr>
        <w:pStyle w:val="Heading1"/>
        <w:spacing w:after="130" w:before="260"/>
      </w:pPr>
      <w:r>
        <w:rPr>
          <w:rFonts w:ascii="Arial" w:cs="Arial" w:eastAsia="Arial" w:hAnsi="Arial"/>
          <w:b/>
          <w:bCs/>
          <w:color w:val="1F3864"/>
          <w:sz w:val="28"/>
          <w:szCs w:val="28"/>
        </w:rPr>
        <w:t xml:space="preserve">6. Non-Compliance</w:t>
      </w:r>
    </w:p>
    <w:p>
      <w:pPr>
        <w:spacing w:after="60" w:before="60"/>
      </w:pPr>
      <w:r>
        <w:rPr>
          <w:rFonts w:ascii="Arial" w:cs="Arial" w:eastAsia="Arial" w:hAnsi="Arial"/>
          <w:sz w:val="22"/>
          <w:szCs w:val="22"/>
        </w:rPr>
        <w:t xml:space="preserve">Violations of this policy may result in immediate suspension of access rights and formal disciplinary action in accordance with the HR Disciplinary Policy. Intentional or malicious access violations may result in termination and legal proceedings.</w:t>
      </w:r>
    </w:p>
    <w:p>
      <w:pPr>
        <w:spacing w:after="180" w:before="0"/>
      </w:pPr>
      <w:r>
        <w:t xml:space="preserve"/>
      </w:r>
    </w:p>
    <w:p>
      <w:pPr>
        <w:pStyle w:val="Heading1"/>
        <w:spacing w:after="130" w:before="260"/>
      </w:pPr>
      <w:r>
        <w:rPr>
          <w:rFonts w:ascii="Arial" w:cs="Arial" w:eastAsia="Arial" w:hAnsi="Arial"/>
          <w:b/>
          <w:bCs/>
          <w:color w:val="1F3864"/>
          <w:sz w:val="28"/>
          <w:szCs w:val="28"/>
        </w:rPr>
        <w:t xml:space="preserve">7. Policy Review</w:t>
      </w:r>
    </w:p>
    <w:p>
      <w:pPr>
        <w:spacing w:after="60" w:before="60"/>
      </w:pPr>
      <w:r>
        <w:rPr>
          <w:rFonts w:ascii="Arial" w:cs="Arial" w:eastAsia="Arial" w:hAnsi="Arial"/>
          <w:sz w:val="22"/>
          <w:szCs w:val="22"/>
        </w:rPr>
        <w:t xml:space="preserve">This policy shall be reviewed annually and upon significant changes to systems, roles, or the risk environment. Approved by:</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IT Manager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Signature: ___________________________   /   7 May 2026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sz w:val="20"/>
                <w:szCs w:val="20"/>
              </w:rPr>
              <w:t xml:space="preserve">CISO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Signature: ___________________________   /   7 May 2026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Next Review</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 May 2027</w:t>
            </w:r>
          </w:p>
        </w:tc>
      </w:tr>
    </w:tbl>
    <w:sectPr>
      <w:footerReference w:type="default" r:id="rId7"/>
      <w:pgSz w:w="11906" w:h="16838"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7"/>
        <w:szCs w:val="17"/>
      </w:rPr>
      <w:t xml:space="preserve">ISMS-ACP-001  |  Access Control Policy  |  [Organization Name]  |  INTERNAL  |  Page </w:t>
    </w:r>
    <w:r>
      <w:rPr>
        <w:rFonts w:ascii="Arial" w:cs="Arial" w:eastAsia="Arial" w:hAnsi="Arial"/>
        <w:color w:val="777777"/>
        <w:sz w:val="17"/>
        <w:szCs w:val="17"/>
      </w:rPr>
      <w:fldChar w:fldCharType="begin"/>
      <w:instrText xml:space="preserve">PAGE</w:instrText>
      <w:fldChar w:fldCharType="separate"/>
      <w:fldChar w:fldCharType="end"/>
    </w:r>
    <w:r>
      <w:rPr>
        <w:rFonts w:ascii="Arial" w:cs="Arial" w:eastAsia="Arial" w:hAnsi="Arial"/>
        <w:color w:val="777777"/>
        <w:sz w:val="17"/>
        <w:szCs w:val="17"/>
      </w:rPr>
      <w:t xml:space="preserve"> of </w:t>
    </w:r>
    <w:r>
      <w:rPr>
        <w:rFonts w:ascii="Arial" w:cs="Arial" w:eastAsia="Arial" w:hAnsi="Arial"/>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2026-05-09T05:15:17.108Z</dcterms:created>
  <dcterms:modified xsi:type="dcterms:W3CDTF">2026-05-09T05:15:17.109Z</dcterms:modified>
</cp:coreProperties>
</file>

<file path=docProps/custom.xml><?xml version="1.0" encoding="utf-8"?>
<Properties xmlns="http://schemas.openxmlformats.org/officeDocument/2006/custom-properties" xmlns:vt="http://schemas.openxmlformats.org/officeDocument/2006/docPropsVTypes"/>
</file>