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5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INFORMATION SECURITY MANAGEMENT SYSTEM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Supplier Security Policy</w:t>
      </w:r>
    </w:p>
    <w:p>
      <w:pPr>
        <w:pBdr>
          <w:bottom w:val="single" w:color="2E75B6" w:sz="6"/>
        </w:pBdr>
        <w:spacing w:after="400" w:before="0"/>
        <w:jc w:val="center"/>
      </w:pPr>
      <w:r>
        <w:t xml:space="preserve"/>
      </w:r>
    </w:p>
    <w:p>
      <w:pPr>
        <w:spacing w:after="180" w:before="0"/>
      </w:pPr>
      <w: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[Organization Name] Co., Ltd.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ISMS-SUP-001  |  Version 1.0  |  7 May 2026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ISO/IEC 27001:2022 — A.5.19 | A.5.20 | A.5.21 | A.5.22 | A.5.23</w:t>
      </w:r>
    </w:p>
    <w:p>
      <w:pPr>
        <w:pageBreakBefore/>
      </w:pPr>
      <w:r>
        <w:t xml:space="preserve"/>
      </w:r>
    </w:p>
    <w:p>
      <w:pPr>
        <w:pStyle w:val="Heading1"/>
        <w:spacing w:after="13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Document Control</w:t>
      </w:r>
    </w:p>
    <w:p>
      <w:pPr>
        <w:spacing w:after="9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Supplier Security Policy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Reference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ISMS-SUP-001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Information Security Manager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Approved By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CISO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of Issue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May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Next Review 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May 2027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ISO 27001 Controls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A.5.19 IS in supplier relationships | A.5.20 Agreements | A.5.21 ICT supply chain | A.5.22 Monitoring | A.5.23 Cloud services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Related Documents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ISMS-POL-001 | ISMS-ACP-001 | ISMS-RSK-001 (R-003, R-018, R-019, R-020, R-023)</w:t>
            </w:r>
          </w:p>
        </w:tc>
      </w:tr>
    </w:tbl>
    <w:p>
      <w:pPr>
        <w:spacing w:after="180" w:before="0"/>
      </w:pPr>
      <w:r>
        <w:t xml:space="preserve"/>
      </w:r>
    </w:p>
    <w:p>
      <w:pPr>
        <w:pStyle w:val="Heading1"/>
        <w:spacing w:after="13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Purpose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policy defines the requirements for managing information security risks arising from the Organization's relationships with suppliers, vendors, cloud service providers, and ICT supply chain partners.</w:t>
      </w:r>
    </w:p>
    <w:p>
      <w:pPr>
        <w:spacing w:after="180" w:before="0"/>
      </w:pPr>
      <w:r>
        <w:t xml:space="preserve"/>
      </w:r>
    </w:p>
    <w:p>
      <w:pPr>
        <w:pStyle w:val="Heading1"/>
        <w:spacing w:after="13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Supplier Classification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360"/>
        <w:gridCol w:w="28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Criteria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IS Requirements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Tier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Critical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Access to personal data, source code, financial systems, or production infrastructure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Full IS questionnaire + contractual IS clauses + annual review + right to audit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Tier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Important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Access to internal systems or significant organizational data without PII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IS questionnaire + contractual IS clauses + biennial review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Tier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Standard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 access to organizational systems or data (e.g., facility services, stationery)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Standard procurement terms + IS declaration</w:t>
            </w:r>
          </w:p>
        </w:tc>
      </w:tr>
    </w:tbl>
    <w:p>
      <w:pPr>
        <w:spacing w:after="180" w:before="0"/>
      </w:pPr>
      <w:r>
        <w:t xml:space="preserve"/>
      </w:r>
    </w:p>
    <w:p>
      <w:pPr>
        <w:pStyle w:val="Heading1"/>
        <w:spacing w:after="13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Supplier Onboarding IS Requirements (A.5.19 | A.5.20)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Before granting any Tier 1 or Tier 2 supplier access to organizational systems or data, the following must be completed: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Supplier IS questionnaire completed and reviewed by IS Manager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Supplier's IS certifications verified (ISO 27001, SOC 2, CSA STAR, or equivalent)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Data Processing Agreement (DPA) executed where personal data is processed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IS contractual clauses included covering: data confidentiality, security requirements, incident notification, audit rights, data return/deletion on termination, and sub-processor obligations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Supplier registered in the Supplier IS Register with Tier classification, data types, and system access documented</w:t>
      </w:r>
    </w:p>
    <w:p>
      <w:pPr>
        <w:spacing w:after="180" w:before="0"/>
      </w:pPr>
      <w:r>
        <w:t xml:space="preserve"/>
      </w:r>
    </w:p>
    <w:p>
      <w:pPr>
        <w:pStyle w:val="Heading1"/>
        <w:spacing w:after="13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Cloud Service Provider Requirements (A.5.23)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All cloud services used to process or store organizational data must be approved by IT Manager and IS Manager before use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Cloud services must be assessed against the CSA Cloud Controls Matrix or equivalent framework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Data residency requirements must be confirmed — data must not be stored in prohibited jurisdictions without legal approval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Cloud configuration must follow security baseline (no public access by default; encryption at rest and in transit; MFA on all console access)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Cloud Security Posture Management (CSPM) tooling shall be deployed to continuously monitor cloud configuration compliance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An exit strategy and data portability plan must be documented for all Tier 1 cloud providers</w:t>
      </w:r>
    </w:p>
    <w:p>
      <w:pPr>
        <w:spacing w:after="180" w:before="0"/>
      </w:pPr>
      <w:r>
        <w:t xml:space="preserve"/>
      </w:r>
    </w:p>
    <w:p>
      <w:pPr>
        <w:pStyle w:val="Heading1"/>
        <w:spacing w:after="13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ICT Supply Chain Security (A.5.21)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Software dependencies (open-source libraries, third-party APIs) shall be inventoried and assessed for known vulnerabilities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Software Composition Analysis (SCA) tools shall be integrated into the CI/CD pipeline to identify vulnerable dependencies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Critical ICT components shall have documented alternative sources to mitigate single-supplier concentration risk</w:t>
      </w:r>
    </w:p>
    <w:p>
      <w:pPr>
        <w:spacing w:after="180" w:before="0"/>
      </w:pPr>
      <w:r>
        <w:t xml:space="preserve"/>
      </w:r>
    </w:p>
    <w:p>
      <w:pPr>
        <w:pStyle w:val="Heading1"/>
        <w:spacing w:after="13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Supplier Monitoring &amp; Review (A.5.22)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Tier 1 suppliers shall be reviewed annually — IS questionnaire updated, IS certifications verified, incident history reviewed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Tier 2 suppliers shall be reviewed biennially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Suppliers experiencing significant IS incidents must notify the Organization within 24 hours and provide incident reports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Underperforming suppliers shall receive formal improvement notice; persistent underperformance may result in contract termination</w:t>
      </w:r>
    </w:p>
    <w:p>
      <w:pPr>
        <w:spacing w:after="1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Approved By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CISO: ___________________________   /   7 May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Next Review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May 2027</w:t>
            </w:r>
          </w:p>
        </w:tc>
      </w:tr>
    </w:tbl>
    <w:sectPr>
      <w:footerReference w:type="default" r:id="rId7"/>
      <w:pgSz w:w="11906" w:h="16838" w:orient="portrait"/>
      <w:pgMar w:top="1440" w:right="1152" w:bottom="1440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  <w:spacing w:before="80"/>
    </w:pPr>
    <w:r>
      <w:rPr>
        <w:rFonts w:ascii="Arial" w:cs="Arial" w:eastAsia="Arial" w:hAnsi="Arial"/>
        <w:color w:val="777777"/>
        <w:sz w:val="17"/>
        <w:szCs w:val="17"/>
      </w:rPr>
      <w:t xml:space="preserve">ISMS-SUP-001  |  Supplier Security Policy  |  [Organization Name]  |  INTERNAL  |  Page </w:t>
    </w:r>
    <w:r>
      <w:rPr>
        <w:rFonts w:ascii="Arial" w:cs="Arial" w:eastAsia="Arial" w:hAnsi="Arial"/>
        <w:color w:val="777777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77777"/>
        <w:sz w:val="17"/>
        <w:szCs w:val="17"/>
      </w:rPr>
      <w:t xml:space="preserve"> of </w:t>
    </w:r>
    <w:r>
      <w:rPr>
        <w:rFonts w:ascii="Arial" w:cs="Arial" w:eastAsia="Arial" w:hAnsi="Arial"/>
        <w:color w:val="777777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30" w:before="26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2026-05-10T04:00:17.254Z</dcterms:created>
  <dcterms:modified xsi:type="dcterms:W3CDTF">2026-05-10T04:00:17.254Z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