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Cryptography Policy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ISMS-CRY-001  |  Version 1.0  |  7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A.8.24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ISMS-CRY-001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A.8.24 Use of cryptography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ISMS-POL-001 | ISMS-ACP-001 | ISMS-RSK-001 (R-015, R-016)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policy defines the requirements for the use of cryptographic controls to protect the confidentiality, integrity, and authenticity of information assets at [Organization Name] Co., Ltd. in accordance with Control A.8.24.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Approved Cryptographic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3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Algorithm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Minimum Key 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Prohibited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Symmetric encryption (data at rest)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AES-GCM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256-bit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993C1D"/>
                <w:sz w:val="16"/>
                <w:szCs w:val="16"/>
              </w:rPr>
              <w:t xml:space="preserve">DES, 3DES, RC4, Blowfish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Asymmetric encryption / key exchange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RSA-OAEP or ECDH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RSA: 2048-bit min (4096 preferred) / EC: 256-bit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993C1D"/>
                <w:sz w:val="16"/>
                <w:szCs w:val="16"/>
              </w:rPr>
              <w:t xml:space="preserve">RSA &lt;2048-bit, DH &lt;2048-bit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Digital signatures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RSA-PSS or ECDSA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RSA: 2048-bit / EC: 256-bit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993C1D"/>
                <w:sz w:val="16"/>
                <w:szCs w:val="16"/>
              </w:rPr>
              <w:t xml:space="preserve">MD5, SHA-1 signatures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 in transit (TLS)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TLS 1.2 or TLS 1.3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993C1D"/>
                <w:sz w:val="16"/>
                <w:szCs w:val="16"/>
              </w:rPr>
              <w:t xml:space="preserve">SSL, TLS 1.0, TLS 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Hashing (integrity)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SHA-256 or SHA-3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256-bit minimum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993C1D"/>
                <w:sz w:val="16"/>
                <w:szCs w:val="16"/>
              </w:rPr>
              <w:t xml:space="preserve">MD5, SHA-1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Password hashing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bcrypt, scrypt, or Argon2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 factor ≥12 (bcrypt)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993C1D"/>
                <w:sz w:val="16"/>
                <w:szCs w:val="16"/>
              </w:rPr>
              <w:t xml:space="preserve">MD5, SHA-1, SHA-256 (unsalted)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Secure random number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OS CSPRNG (e.g., /dev/urandom, CryptGenRandom)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993C1D"/>
                <w:sz w:val="16"/>
                <w:szCs w:val="16"/>
              </w:rPr>
              <w:t xml:space="preserve">Predictable/seeded RNG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Encryption Requirements by Data Type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Data in transit — TLS 1.2+ mandatory for all network communications; HTTPS enforced on all web services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Data at rest — AES-256 mandatory for all databases containing PII or confidential data; full disk encryption on all endpoints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Email with confidential content — S/MIME or PGP encryption required for external transmission of classified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Backup data — encrypted with AES-256 before storage; encryption keys stored separately from backup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API communications — TLS 1.2+ with certificate pinning for high-sensitivity APIs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Key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Cryptographic keys shall be generated using approved CSPRNG on trusted hardware or HSM where required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Keys shall be stored in an approved secrets management solution (e.g., HashiCorp Vault, AWS KMS, Azure Key Vault)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Keys shall never be stored in source code, configuration files, or unprotected storage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Key rotation schedule: TLS certificates — annually (or on CA compromise); Application encryption keys — annually; API keys — 90 days; Password hashes — re-hashed on user password change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Key revocation procedures documented and tested; compromised keys revoked within 1 hour of discovery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IT Manager maintains key inventory; CISO reviews annually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Certificate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All TLS certificates issued by a trusted Certificate Authority (CA) — self-signed certificates prohibited in production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Certificate expiry monitored via automated tooling; alerts triggered 60 days before expiry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Certificate transparency logs monitored for unauthorized certificates issued for organizational domains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CISO: ___________________________   /   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</w:tbl>
    <w:sectPr>
      <w:footerReference w:type="default" r:id="rId7"/>
      <w:pgSz w:w="11906" w:h="16838" w:orient="portrait"/>
      <w:pgMar w:top="1440" w:right="1152" w:bottom="144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ISMS-CRY-001  |  Cryptography Policy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2026-05-10T04:00:17.257Z</dcterms:created>
  <dcterms:modified xsi:type="dcterms:W3CDTF">2026-05-10T04:00:17.257Z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