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Spartan-6 Packaging and Pinouts - русская адаптация</w:t>
      </w:r>
    </w:p>
    <w:p>
      <w:pPr>
        <w:jc w:val="center"/>
      </w:pPr>
      <w:r>
        <w:rPr>
          <w:b/>
          <w:sz w:val="24"/>
        </w:rPr>
        <w:t>Только необходимое для XC6SLX45T-3FGG484 и платы SP605</w:t>
      </w:r>
    </w:p>
    <w:p>
      <w:pPr>
        <w:jc w:val="center"/>
      </w:pPr>
      <w:r>
        <w:rPr>
          <w:i/>
          <w:sz w:val="18"/>
        </w:rPr>
        <w:t>Неофициальная русская адаптация для практической работы. Официальные названия сигналов, пинов, компонентов и команд сохранены.</w:t>
      </w:r>
    </w:p>
    <w:p>
      <w:r>
        <w:t>Оригинальный UG385 содержит сотни страниц и таблицы для всех Spartan-6 и множества корпусов. В этой редакции оставлены правила и сведения, необходимые для установленного на SP605 XC6SLX45T в корпусе FGG484.</w:t>
      </w:r>
    </w:p>
    <w:p>
      <w:hyperlink r:id="rId9">
        <w:r>
          <w:rPr>
            <w:color w:val="0563C1"/>
            <w:u w:val="single"/>
          </w:rPr>
          <w:t>Официальный оригинал UG385</w:t>
        </w:r>
      </w:hyperlink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Что означает FGG484</w:t>
      </w:r>
    </w:p>
    <w:p>
      <w:pPr>
        <w:pStyle w:val="ListNumber"/>
      </w:pPr>
      <w:r>
        <w:t>2. Как читать координаты BGA</w:t>
      </w:r>
    </w:p>
    <w:p>
      <w:pPr>
        <w:pStyle w:val="ListNumber"/>
      </w:pPr>
      <w:r>
        <w:t>3. Типы выводов Spartan-6</w:t>
      </w:r>
    </w:p>
    <w:p>
      <w:pPr>
        <w:pStyle w:val="ListNumber"/>
      </w:pPr>
      <w:r>
        <w:t>4. Многофункциональные имена I/O</w:t>
      </w:r>
    </w:p>
    <w:p>
      <w:pPr>
        <w:pStyle w:val="ListNumber"/>
      </w:pPr>
      <w:r>
        <w:t>5. Банки I/O и VCCO</w:t>
      </w:r>
    </w:p>
    <w:p>
      <w:pPr>
        <w:pStyle w:val="ListNumber"/>
      </w:pPr>
      <w:r>
        <w:t>6. Дифференциальные пары P/N</w:t>
      </w:r>
    </w:p>
    <w:p>
      <w:pPr>
        <w:pStyle w:val="ListNumber"/>
      </w:pPr>
      <w:r>
        <w:t>7. Глобальные тактовые выводы GCLK</w:t>
      </w:r>
    </w:p>
    <w:p>
      <w:pPr>
        <w:pStyle w:val="ListNumber"/>
      </w:pPr>
      <w:r>
        <w:t>8. Конфигурационные выводы</w:t>
      </w:r>
    </w:p>
    <w:p>
      <w:pPr>
        <w:pStyle w:val="ListNumber"/>
      </w:pPr>
      <w:r>
        <w:t>9. GTP-трансиверы LXT</w:t>
      </w:r>
    </w:p>
    <w:p>
      <w:pPr>
        <w:pStyle w:val="ListNumber"/>
      </w:pPr>
      <w:r>
        <w:t>10. Питание и специальные выводы</w:t>
      </w:r>
    </w:p>
    <w:p>
      <w:pPr>
        <w:pStyle w:val="ListNumber"/>
      </w:pPr>
      <w:r>
        <w:t>11. Как находить нужный пин в UG385</w:t>
      </w:r>
    </w:p>
    <w:p>
      <w:pPr>
        <w:pStyle w:val="ListNumber"/>
      </w:pPr>
      <w:r>
        <w:t>12. Применение к SP605</w:t>
      </w:r>
    </w:p>
    <w:p>
      <w:pPr>
        <w:pStyle w:val="ListNumber"/>
      </w:pPr>
      <w:r>
        <w:t>13. Правила безопасного pin planning</w:t>
      </w:r>
    </w:p>
    <w:p>
      <w:pPr>
        <w:pStyle w:val="Heading1"/>
      </w:pPr>
      <w:r>
        <w:t>1. Что означает FGG484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Обозначение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Смысл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Fine-pitch Ball Grid Array.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Бессвинцовый вариант корпуса.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484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Общее количество шаров корпуса.</w:t>
            </w:r>
          </w:p>
        </w:tc>
      </w:tr>
    </w:tbl>
    <w:p>
      <w:r>
        <w:t>FGG484 и свинцовый эквивалент FG484 имеют одинаковую распиновку. Однако корпуса с тем же количеством шаров, но другим кодом, например CSG484, не считаются совместимыми.</w:t>
      </w:r>
    </w:p>
    <w:p>
      <w:pPr>
        <w:pStyle w:val="Heading1"/>
      </w:pPr>
      <w:r>
        <w:t>2. Как читать координаты BGA</w:t>
      </w:r>
    </w:p>
    <w:p>
      <w:r>
        <w:t>Каждый шар задаётся координатой из буквенной строки и числового столбца: B21, AB13, F5. На корпусе имеются метки ориентации, поэтому при проектировании печатной платы нельзя зеркально переносить диаграмму.</w:t>
      </w:r>
    </w:p>
    <w:p>
      <w:pPr>
        <w:pStyle w:val="ListBullet"/>
      </w:pPr>
      <w:r>
        <w:t>Буква/две буквы - строка BGA.</w:t>
      </w:r>
    </w:p>
    <w:p>
      <w:pPr>
        <w:pStyle w:val="ListBullet"/>
      </w:pPr>
      <w:r>
        <w:t>Число - столбец BGA.</w:t>
      </w:r>
    </w:p>
    <w:p>
      <w:pPr>
        <w:pStyle w:val="ListBullet"/>
      </w:pPr>
      <w:r>
        <w:t>LOC в UCF использует эту координату без дополнительных символов.</w:t>
      </w:r>
    </w:p>
    <w:p>
      <w:pPr>
        <w:pStyle w:val="ListBullet"/>
      </w:pPr>
      <w:r>
        <w:t>Физический номер внешнего разъёма платы с координатой BGA не совпадает.</w:t>
      </w:r>
    </w:p>
    <w:p>
      <w:pPr>
        <w:pStyle w:val="Heading1"/>
      </w:pPr>
      <w:r>
        <w:t>3. Типы выводов Spartan-6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User I/O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Обычный программируемый вход/выход.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Multi-function I/O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Обычный I/O после конфигурации, но имеет дополнительную специальную функцию.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Dedicated configuration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Вывод используется конфигурационной логикой и может не быть доступен как GPIO.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Power/Ground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Питание ядра, банков, вспомогательных цепей, GTP и земля.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GTP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Высокоскоростные дифференциальные входы/выходы LXT.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JTAG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TCK, TMS, TDI, TDO для конфигурирования и boundary scan.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 Connect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NC - не подключать.</w:t>
            </w:r>
          </w:p>
        </w:tc>
      </w:tr>
    </w:tbl>
    <w:p>
      <w:r>
        <w:t>Перед назначением любого вывода проверьте, является ли он обычным I/O, многофункциональным или выделенным конфигурационным контактом.</w:t>
      </w:r>
    </w:p>
    <w:p>
      <w:pPr>
        <w:pStyle w:val="Heading1"/>
      </w:pPr>
      <w:r>
        <w:t>4. Многофункциональные имена I/O</w:t>
      </w:r>
    </w:p>
    <w:p>
      <w:r>
        <w:t>Полное имя вывода может выглядеть как IO_LxxP_GCLKyy_0 или IO_LxxN_Dz_2. Части имени описывают структуру и дополнительные функции.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Фрагмент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Программируемый ввод/вывод.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Lxx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Логическая дифференциальная пара внутри банка.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 / 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Положительная или отрицательная линия дифференциальной пары.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GCLK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Вывод может подавать сигнал в глобальную тактовую сеть.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Dxx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Дополнительная функция шины данных конфигурации или памяти.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Последняя цифра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Номер банка I/O.</w:t>
            </w:r>
          </w:p>
        </w:tc>
      </w:tr>
    </w:tbl>
    <w:p>
      <w:r>
        <w:t>После конфигурации многие многофункциональные контакты становятся обычными I/O, если выбранный режим конфигурации не удерживает их специальную функцию.</w:t>
      </w:r>
    </w:p>
    <w:p>
      <w:pPr>
        <w:pStyle w:val="Heading1"/>
      </w:pPr>
      <w:r>
        <w:t>5. Банки I/O и VCCO</w:t>
      </w:r>
    </w:p>
    <w:p>
      <w:r>
        <w:t>Выводы распределены по банкам. У каждого банка своё питание VCCO, которое определяет допустимые стандарты выходных уровней.</w:t>
      </w:r>
    </w:p>
    <w:p>
      <w:pPr>
        <w:pStyle w:val="ListBullet"/>
      </w:pPr>
      <w:r>
        <w:t>Все выходные драйверы банка питаются от VCCO этого банка.</w:t>
      </w:r>
    </w:p>
    <w:p>
      <w:pPr>
        <w:pStyle w:val="ListBullet"/>
      </w:pPr>
      <w:r>
        <w:t>Входные стандарты также могут иметь требования к VCCO и VREF.</w:t>
      </w:r>
    </w:p>
    <w:p>
      <w:pPr>
        <w:pStyle w:val="ListBullet"/>
      </w:pPr>
      <w:r>
        <w:t>SSTL/HSTL могут требовать отдельный VREF.</w:t>
      </w:r>
    </w:p>
    <w:p>
      <w:pPr>
        <w:pStyle w:val="ListBullet"/>
      </w:pPr>
      <w:r>
        <w:t>Нельзя смешивать несовместимые стандарты в одном банке.</w:t>
      </w:r>
    </w:p>
    <w:p>
      <w:pPr>
        <w:pStyle w:val="ListBullet"/>
      </w:pPr>
      <w:r>
        <w:t>На готовой SP605 напряжения банков заданы схемой платы.</w:t>
      </w:r>
    </w:p>
    <w:p>
      <w:r>
        <w:t>FGPA допускает различные I/O standards, но конкретная плата может ограничивать их из-за подключённой периферии и установленного напряжения.</w:t>
      </w:r>
    </w:p>
    <w:p>
      <w:pPr>
        <w:pStyle w:val="Heading1"/>
      </w:pPr>
      <w:r>
        <w:t>6. Дифференциальные пары P/N</w:t>
      </w:r>
    </w:p>
    <w:p>
      <w:r>
        <w:t>Дифференциальный сигнал использует согласованную пару P и N одного логического ресурса. Нельзя произвольно выбирать два соседних вывода.</w:t>
      </w:r>
    </w:p>
    <w:p>
      <w:pPr>
        <w:pStyle w:val="Code"/>
      </w:pPr>
      <w:r>
        <w:t>NET "clk_p" LOC = "K21";</w:t>
        <w:br/>
        <w:t>NET "clk_n" LOC = "K22";</w:t>
      </w:r>
    </w:p>
    <w:p>
      <w:r>
        <w:t>Для 200-МГц системного генератора SP605 используйте входной дифференциальный буфер IBUFGDS. Для однотактного генератора AB13 используется обычный clock input.</w:t>
      </w:r>
    </w:p>
    <w:p>
      <w:pPr>
        <w:pStyle w:val="Heading1"/>
      </w:pPr>
      <w:r>
        <w:t>7. Глобальные тактовые выводы GCLK</w:t>
      </w:r>
    </w:p>
    <w:p>
      <w:r>
        <w:t>GCLK-пины напрямую подключаются к выделенным тактовым ресурсам и являются предпочтительными для системного такта. Spartan-6 имеет глобальные буферы BUFG и региональные ресурсы.</w:t>
      </w:r>
    </w:p>
    <w:p>
      <w:pPr>
        <w:pStyle w:val="ListBullet"/>
      </w:pPr>
      <w:r>
        <w:t>Системные и высокочастотные такты назначайте на clock-capable pins.</w:t>
      </w:r>
    </w:p>
    <w:p>
      <w:pPr>
        <w:pStyle w:val="ListBullet"/>
      </w:pPr>
      <w:r>
        <w:t>Не используйте обычный GPIO для такта без необходимости.</w:t>
      </w:r>
    </w:p>
    <w:p>
      <w:pPr>
        <w:pStyle w:val="ListBullet"/>
      </w:pPr>
      <w:r>
        <w:t>В RTL применяйте IBUFG/IBUFGDS и BUFG, либо позволяйте инструменту вывести их автоматически.</w:t>
      </w:r>
    </w:p>
    <w:p>
      <w:pPr>
        <w:pStyle w:val="ListBullet"/>
      </w:pPr>
      <w:r>
        <w:t>Обязательно задавайте PERIOD/TIMESPEC.</w:t>
      </w:r>
    </w:p>
    <w:p>
      <w:pPr>
        <w:pStyle w:val="Heading1"/>
      </w:pPr>
      <w:r>
        <w:t>8. Конфигурационные выводы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Сигнал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PROGRAM_B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Запускает повторную конфигурацию при активном низком уровне.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INIT_B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Показывает инициализацию/ошибки конфигурации.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Переходит в высокий уровень после успешной конфигурации.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M[1:0]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Выбор режима конфигурации.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CCLK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Конфигурационный тактовый сигнал.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DIN/DOUT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Последовательные конфигурационные данные.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TCK/TMS/TDI/TDO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JTAG.</w:t>
            </w:r>
          </w:p>
        </w:tc>
      </w:tr>
    </w:tbl>
    <w:p>
      <w:r>
        <w:t>Не переназначайте выделенные конфигурационные контакты как пользовательские сигналы без понимания выбранного режима загрузки. На SP605 они уже подключены к конфигурационной схеме.</w:t>
      </w:r>
    </w:p>
    <w:p>
      <w:pPr>
        <w:pStyle w:val="Heading1"/>
      </w:pPr>
      <w:r>
        <w:t>9. GTP-трансиверы LXT</w:t>
      </w:r>
    </w:p>
    <w:p>
      <w:r>
        <w:t>Буква T в LX45T означает наличие GTP. Эти контакты не являются обычными GPIO. Они образуют дифференциальные высокоскоростные каналы TX/RX и требуют reference clock.</w:t>
      </w:r>
    </w:p>
    <w:p>
      <w:pPr>
        <w:pStyle w:val="ListBullet"/>
      </w:pPr>
      <w:r>
        <w:t>Используйте специальные GTP primitives/IP cores.</w:t>
      </w:r>
    </w:p>
    <w:p>
      <w:pPr>
        <w:pStyle w:val="ListBullet"/>
      </w:pPr>
      <w:r>
        <w:t>Соблюдайте назначение трансиверного банка.</w:t>
      </w:r>
    </w:p>
    <w:p>
      <w:pPr>
        <w:pStyle w:val="ListBullet"/>
      </w:pPr>
      <w:r>
        <w:t>Не назначайте GTP-пины через обычный IOBUF.</w:t>
      </w:r>
    </w:p>
    <w:p>
      <w:pPr>
        <w:pStyle w:val="ListBullet"/>
      </w:pPr>
      <w:r>
        <w:t>Для PCIe, SFP и SMA используйте соответствующую схему SP605.</w:t>
      </w:r>
    </w:p>
    <w:p>
      <w:pPr>
        <w:pStyle w:val="Heading1"/>
      </w:pPr>
      <w:r>
        <w:t>10. Питание и специальные выводы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Группа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VCCINT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Питание логического ядра FPGA.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VCCAUX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Вспомогательное питание.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VCCO_n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Питание выходных драйверов банка 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GND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Общая земля.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VREF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Опорное напряжение некоторых входных стандартов.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VBATT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Питание для функций безопасности/ключа, если применяется.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MGTAVCC/MGTAVTT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Аналоговое питание GTP.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RZQ/ZIO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Калибровочные контакты контроллера памяти.</w:t>
            </w:r>
          </w:p>
        </w:tc>
      </w:tr>
    </w:tbl>
    <w:p>
      <w:r>
        <w:t>Питание и земля не задаются в UCF. Эти шары соединяются на печатной плате и должны соответствовать требованиям datasheet.</w:t>
      </w:r>
    </w:p>
    <w:p>
      <w:pPr>
        <w:pStyle w:val="Heading1"/>
      </w:pPr>
      <w:r>
        <w:t>11. Как находить нужный пин в UG385</w:t>
      </w:r>
    </w:p>
    <w:p>
      <w:pPr>
        <w:pStyle w:val="ListNumber"/>
      </w:pPr>
      <w:r>
        <w:t>Определите точное устройство: XC6SLX45T.</w:t>
      </w:r>
    </w:p>
    <w:p>
      <w:pPr>
        <w:pStyle w:val="ListNumber"/>
      </w:pPr>
      <w:r>
        <w:t>Определите корпус: FGG484.</w:t>
      </w:r>
    </w:p>
    <w:p>
      <w:pPr>
        <w:pStyle w:val="ListNumber"/>
      </w:pPr>
      <w:r>
        <w:t>Откройте Pinout Tables для соответствующего устройства/корпуса.</w:t>
      </w:r>
    </w:p>
    <w:p>
      <w:pPr>
        <w:pStyle w:val="ListNumber"/>
      </w:pPr>
      <w:r>
        <w:t>Найдите координату шара или имя функции.</w:t>
      </w:r>
    </w:p>
    <w:p>
      <w:pPr>
        <w:pStyle w:val="ListNumber"/>
      </w:pPr>
      <w:r>
        <w:t>Проверьте номер банка и дополнительные функции.</w:t>
      </w:r>
    </w:p>
    <w:p>
      <w:pPr>
        <w:pStyle w:val="ListNumber"/>
      </w:pPr>
      <w:r>
        <w:t>Проверьте NC-столбцы и совместимость с конкретной плотностью.</w:t>
      </w:r>
    </w:p>
    <w:p>
      <w:pPr>
        <w:pStyle w:val="ListNumber"/>
      </w:pPr>
      <w:r>
        <w:t>После этого сверяйтесь со схемой SP605: UG385 описывает FPGA, но не соединения на плате.</w:t>
      </w:r>
    </w:p>
    <w:p>
      <w:r>
        <w:t>Для вопроса «к чему подключён B21 на SP605» главным источником является UG526/схема платы. UG385 отвечает на вопрос «какие функции имеет шар B21 внутри FPGA и к какому банку он относится».</w:t>
      </w:r>
    </w:p>
    <w:p>
      <w:pPr>
        <w:pStyle w:val="Heading1"/>
      </w:pPr>
      <w:r>
        <w:t>12. Применение к SP605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Пин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Использование на SP605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Тип проекта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AB13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Однотактный генератор X2, 27 МГц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clk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K21/K22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Дифференциальный генератор 200 МГц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sysclk_p/n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FPGA TX -&gt; CP2103 RX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uart_tx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CP2103 TX -&gt; FPGA RX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uart_rx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AB4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DS4 / GPIO_LED_1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SW5 / GPIO_BUTTON_2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reset/button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DS3 / GPIO_LED_0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led0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SW6 / CPU_RESET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cpu_reset</w:t>
            </w:r>
          </w:p>
        </w:tc>
      </w:tr>
    </w:tbl>
    <w:p>
      <w:r>
        <w:t>Эта таблица относится именно к разводке SP605. На другой плате с тем же FPGA эти координаты могут быть подключены к совершенно другим компонентам.</w:t>
      </w:r>
    </w:p>
    <w:p>
      <w:pPr>
        <w:pStyle w:val="Heading1"/>
      </w:pPr>
      <w:r>
        <w:t>13. Правила безопасного pin planning</w:t>
      </w:r>
    </w:p>
    <w:p>
      <w:pPr>
        <w:pStyle w:val="ListBullet"/>
      </w:pPr>
      <w:r>
        <w:t>Сначала изучайте схему платы, затем таблицу корпуса.</w:t>
      </w:r>
    </w:p>
    <w:p>
      <w:pPr>
        <w:pStyle w:val="ListBullet"/>
      </w:pPr>
      <w:r>
        <w:t>Всегда задавайте LOC для внешних top-level портов.</w:t>
      </w:r>
    </w:p>
    <w:p>
      <w:pPr>
        <w:pStyle w:val="ListBullet"/>
      </w:pPr>
      <w:r>
        <w:t>Проверяйте VCCO банка перед выбором IOSTANDARD.</w:t>
      </w:r>
    </w:p>
    <w:p>
      <w:pPr>
        <w:pStyle w:val="ListBullet"/>
      </w:pPr>
      <w:r>
        <w:t>Используйте дифференциальные пары только как настоящие пары P/N.</w:t>
      </w:r>
    </w:p>
    <w:p>
      <w:pPr>
        <w:pStyle w:val="ListBullet"/>
      </w:pPr>
      <w:r>
        <w:t>Такты размещайте на clock-capable pins.</w:t>
      </w:r>
    </w:p>
    <w:p>
      <w:pPr>
        <w:pStyle w:val="ListBullet"/>
      </w:pPr>
      <w:r>
        <w:t>Не используйте NC, power, GTP и dedicated configuration pins как обычный GPIO.</w:t>
      </w:r>
    </w:p>
    <w:p>
      <w:pPr>
        <w:pStyle w:val="ListBullet"/>
      </w:pPr>
      <w:r>
        <w:t>После изменения pinout запускайте Design Rule Check и смотрите warnings/errors.</w:t>
      </w:r>
    </w:p>
    <w:p>
      <w:pPr>
        <w:pStyle w:val="ListBullet"/>
      </w:pPr>
      <w:r>
        <w:t>Не подключайте внешний источник 5 В напрямую к FPGA I/O.</w:t>
      </w:r>
    </w:p>
    <w:p>
      <w:pPr>
        <w:pStyle w:val="Heading1"/>
      </w:pPr>
      <w:r>
        <w:t>Пример UCF для SP605</w:t>
      </w:r>
    </w:p>
    <w:p>
      <w:pPr>
        <w:pStyle w:val="Code"/>
      </w:pPr>
      <w:r>
        <w:t>NET "clk"     LOC = "AB13";</w:t>
        <w:br/>
        <w:t>NET "reset"   LOC = "F5";</w:t>
        <w:br/>
        <w:t>NET "led"     LOC = "AB4";</w:t>
        <w:br/>
        <w:t>NET "uart_tx" LOC = "B21";</w:t>
        <w:br/>
        <w:br/>
        <w:t>NET "clk" TNM_NET = "clk";</w:t>
        <w:br/>
        <w:t>TIMESPEC "TS_clk" = PERIOD "clk" 37.037 ns HIGH 50%;</w:t>
      </w:r>
    </w:p>
    <w:p>
      <w:pPr>
        <w:pStyle w:val="Heading1"/>
      </w:pPr>
      <w:r>
        <w:t>Первоисточники</w:t>
      </w:r>
    </w:p>
    <w:p>
      <w:hyperlink r:id="rId9">
        <w:r>
          <w:rPr>
            <w:color w:val="0563C1"/>
            <w:u w:val="single"/>
          </w:rPr>
          <w:t>UG385 - Spartan-6 FPGA Packaging and Pinouts</w:t>
        </w:r>
      </w:hyperlink>
    </w:p>
    <w:p>
      <w:hyperlink r:id="rId10">
        <w:r>
          <w:rPr>
            <w:color w:val="0563C1"/>
            <w:u w:val="single"/>
          </w:rPr>
          <w:t>UG526 - SP605 Hardware User Guide</w:t>
        </w:r>
      </w:hyperlink>
    </w:p>
    <w:p>
      <w:hyperlink r:id="rId11">
        <w:r>
          <w:rPr>
            <w:color w:val="0563C1"/>
            <w:u w:val="single"/>
          </w:rPr>
          <w:t>UG381 - SelectIO Resources</w:t>
        </w:r>
      </w:hyperlink>
    </w:p>
    <w:p>
      <w:hyperlink r:id="rId12">
        <w:r>
          <w:rPr>
            <w:color w:val="0563C1"/>
            <w:u w:val="single"/>
          </w:rPr>
          <w:t>UG382 - Clocking Resources</w:t>
        </w:r>
      </w:hyperlink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B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61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B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amd.com/v/u/en-US/ug385" TargetMode="External"/><Relationship Id="rId10" Type="http://schemas.openxmlformats.org/officeDocument/2006/relationships/hyperlink" Target="https://docs.amd.com/v/u/en-US/ug526" TargetMode="External"/><Relationship Id="rId11" Type="http://schemas.openxmlformats.org/officeDocument/2006/relationships/hyperlink" Target="https://docs.amd.com/v/u/en-US/ug381" TargetMode="External"/><Relationship Id="rId12" Type="http://schemas.openxmlformats.org/officeDocument/2006/relationships/hyperlink" Target="https://docs.amd.com/v/u/en-US/ug3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