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pPr>
      <w:r w:rsidDel="00000000" w:rsidR="00000000" w:rsidRPr="00000000">
        <w:rPr>
          <w:rFonts w:ascii="Arial" w:cs="Arial" w:eastAsia="Arial" w:hAnsi="Arial"/>
          <w:b w:val="1"/>
          <w:bCs w:val="1"/>
          <w:sz w:val="32"/>
          <w:szCs w:val="32"/>
          <w:rtl w:val="0"/>
        </w:rPr>
        <w:t xml:space="preserve">Standard Operating Procedure</w:t>
      </w:r>
      <w:r w:rsidDel="00000000" w:rsidR="00000000" w:rsidRPr="00000000">
        <w:rPr>
          <w:rtl w:val="0"/>
        </w:rPr>
      </w:r>
    </w:p>
    <w:p w:rsidR="00000000" w:rsidDel="00000000" w:rsidP="00000000" w:rsidRDefault="00000000" w:rsidRPr="00000000" w14:paraId="00000002">
      <w:pPr>
        <w:pStyle w:val="Heading2"/>
        <w:spacing w:after="80" w:before="180" w:lineRule="auto"/>
        <w:rPr/>
      </w:pPr>
      <w:r w:rsidDel="00000000" w:rsidR="00000000" w:rsidRPr="00000000">
        <w:rPr>
          <w:rFonts w:ascii="Arial" w:cs="Arial" w:eastAsia="Arial" w:hAnsi="Arial"/>
          <w:b w:val="1"/>
          <w:bCs w:val="1"/>
          <w:sz w:val="26"/>
          <w:szCs w:val="26"/>
          <w:rtl w:val="0"/>
        </w:rPr>
        <w:t xml:space="preserve">SOP-BANK-002: New Customer Onboarding — KYC Check</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Arial" w:cs="Arial" w:eastAsia="Arial" w:hAnsi="Arial"/>
          <w:b w:val="1"/>
          <w:bCs w:val="1"/>
          <w:sz w:val="20"/>
          <w:szCs w:val="20"/>
          <w:rtl w:val="0"/>
        </w:rPr>
        <w:t xml:space="preserve">Department: </w:t>
      </w:r>
      <w:r w:rsidDel="00000000" w:rsidR="00000000" w:rsidRPr="00000000">
        <w:rPr>
          <w:rFonts w:ascii="Arial" w:cs="Arial" w:eastAsia="Arial" w:hAnsi="Arial"/>
          <w:sz w:val="20"/>
          <w:szCs w:val="20"/>
          <w:rtl w:val="0"/>
        </w:rPr>
        <w:t xml:space="preserve">Compliance &amp; Customer Due Diligence</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Arial" w:cs="Arial" w:eastAsia="Arial" w:hAnsi="Arial"/>
          <w:b w:val="1"/>
          <w:bCs w:val="1"/>
          <w:sz w:val="20"/>
          <w:szCs w:val="20"/>
          <w:rtl w:val="0"/>
        </w:rPr>
        <w:t xml:space="preserve">Version: </w:t>
      </w:r>
      <w:r w:rsidDel="00000000" w:rsidR="00000000" w:rsidRPr="00000000">
        <w:rPr>
          <w:rFonts w:ascii="Arial" w:cs="Arial" w:eastAsia="Arial" w:hAnsi="Arial"/>
          <w:sz w:val="20"/>
          <w:szCs w:val="20"/>
          <w:rtl w:val="0"/>
        </w:rPr>
        <w:t xml:space="preserve">3.0</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Arial" w:cs="Arial" w:eastAsia="Arial" w:hAnsi="Arial"/>
          <w:b w:val="1"/>
          <w:bCs w:val="1"/>
          <w:sz w:val="20"/>
          <w:szCs w:val="20"/>
          <w:rtl w:val="0"/>
        </w:rPr>
        <w:t xml:space="preserve">Effective Date: </w:t>
      </w:r>
      <w:r w:rsidDel="00000000" w:rsidR="00000000" w:rsidRPr="00000000">
        <w:rPr>
          <w:rFonts w:ascii="Arial" w:cs="Arial" w:eastAsia="Arial" w:hAnsi="Arial"/>
          <w:sz w:val="20"/>
          <w:szCs w:val="20"/>
          <w:rtl w:val="0"/>
        </w:rPr>
        <w:t xml:space="preserve">March 15, 2025</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Arial" w:cs="Arial" w:eastAsia="Arial" w:hAnsi="Arial"/>
          <w:b w:val="1"/>
          <w:bCs w:val="1"/>
          <w:sz w:val="20"/>
          <w:szCs w:val="20"/>
          <w:rtl w:val="0"/>
        </w:rPr>
        <w:t xml:space="preserve">Owner: </w:t>
      </w:r>
      <w:r w:rsidDel="00000000" w:rsidR="00000000" w:rsidRPr="00000000">
        <w:rPr>
          <w:rFonts w:ascii="Arial" w:cs="Arial" w:eastAsia="Arial" w:hAnsi="Arial"/>
          <w:sz w:val="20"/>
          <w:szCs w:val="20"/>
          <w:rtl w:val="0"/>
        </w:rPr>
        <w:t xml:space="preserve">Head of Compliance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pStyle w:val="Heading2"/>
        <w:spacing w:after="80" w:before="180" w:lineRule="auto"/>
        <w:rPr/>
      </w:pPr>
      <w:r w:rsidDel="00000000" w:rsidR="00000000" w:rsidRPr="00000000">
        <w:rPr>
          <w:rFonts w:ascii="Arial" w:cs="Arial" w:eastAsia="Arial" w:hAnsi="Arial"/>
          <w:b w:val="1"/>
          <w:bCs w:val="1"/>
          <w:sz w:val="26"/>
          <w:szCs w:val="26"/>
          <w:rtl w:val="0"/>
        </w:rPr>
        <w:t xml:space="preserve">1. Purpose</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Arial" w:cs="Arial" w:eastAsia="Arial" w:hAnsi="Arial"/>
          <w:sz w:val="22"/>
          <w:szCs w:val="22"/>
          <w:rtl w:val="0"/>
        </w:rPr>
        <w:t xml:space="preserve">This procedure outlines the Know Your Customer (KYC) verification steps that must be completed before activating a new retail banking account.</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pStyle w:val="Heading2"/>
        <w:spacing w:after="80" w:before="180" w:lineRule="auto"/>
        <w:rPr/>
      </w:pPr>
      <w:r w:rsidDel="00000000" w:rsidR="00000000" w:rsidRPr="00000000">
        <w:rPr>
          <w:rFonts w:ascii="Arial" w:cs="Arial" w:eastAsia="Arial" w:hAnsi="Arial"/>
          <w:b w:val="1"/>
          <w:bCs w:val="1"/>
          <w:sz w:val="26"/>
          <w:szCs w:val="26"/>
          <w:rtl w:val="0"/>
        </w:rPr>
        <w:t xml:space="preserve">2. Procedure Steps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the new customer application form and supporting identity documents from the front desk.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customer details into the KYC screening platform (OmniKYC).</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automated identity verification check against government ID database.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OmniKYC verification result.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if the KYC verification is complete and passed.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mark the customer record as KYC Approved in the core banking system and proceed to step </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generate a KYC deficiency notice and send it to the customer via registered email, requesting the missing documents. Place the application on hold.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the Relationship Manager assigned to the account that KYC review is complete.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all KYC documents in the customer's digital record in the Document Management System (DMS).</w:t>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pStyle w:val="Heading2"/>
        <w:spacing w:after="80" w:before="180" w:lineRule="auto"/>
        <w:rPr/>
      </w:pPr>
      <w:r w:rsidDel="00000000" w:rsidR="00000000" w:rsidRPr="00000000">
        <w:rPr>
          <w:rFonts w:ascii="Arial" w:cs="Arial" w:eastAsia="Arial" w:hAnsi="Arial"/>
          <w:b w:val="1"/>
          <w:bCs w:val="1"/>
          <w:sz w:val="26"/>
          <w:szCs w:val="26"/>
          <w:rtl w:val="0"/>
        </w:rPr>
        <w:t xml:space="preserve">3. Completion</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Arial" w:cs="Arial" w:eastAsia="Arial" w:hAnsi="Arial"/>
          <w:sz w:val="22"/>
          <w:szCs w:val="22"/>
          <w:rtl w:val="0"/>
        </w:rPr>
        <w:t xml:space="preserve">The KYC onboarding step is complete once the Relationship Manager has been notified and all documents are filed in DMS. Accounts placed on hold remain pending until the customer responds with the required documents.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97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