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2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32"/>
          <w:szCs w:val="32"/>
          <w:rtl w:val="0"/>
        </w:rPr>
        <w:t xml:space="preserve">Standard Operating Procedure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SOP-BANK-003: Transaction Fraud Screening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Department: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Fraud Risk Management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Version: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1.4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Effective Date: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February 1,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0"/>
          <w:szCs w:val="20"/>
          <w:rtl w:val="0"/>
        </w:rPr>
        <w:t xml:space="preserve">Owner: </w:t>
      </w:r>
      <w:r w:rsidDel="00000000" w:rsidR="00000000" w:rsidRPr="00000000">
        <w:rPr>
          <w:rFonts w:ascii="Arial" w:cs="Arial" w:eastAsia="Arial" w:hAnsi="Arial"/>
          <w:sz w:val="20"/>
          <w:szCs w:val="20"/>
          <w:rtl w:val="0"/>
        </w:rPr>
        <w:t xml:space="preserve">Chief Risk Officer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1. Purpose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This SOP governs the real-time fraud screening workflow applied to all inbound wire transfers above USD 10,000. It defines escalation paths based on fraud alert severity.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2. Procedure 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Receive the inbound wire transfer request from the payment gateway.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Submit the transaction details to the Fraud Detection Engine (FDE) for automated screening.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Retrieve the FDE screening result (Clear, Alert-Low, or Alert-High).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Check if a fraud alert has been raised by the FDE.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no fraud alert, log the transaction as Cleared and proceed to step </w:t>
      </w:r>
      <w:r w:rsidDel="00000000" w:rsidR="00000000" w:rsidRPr="00000000">
        <w:rPr>
          <w:rtl w:val="0"/>
        </w:rPr>
        <w:t xml:space="preserve">10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a fraud alert has been raised, place the transaction in the Fraud Review Queue and assign it to a Fraud Analyst.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The Fraud Analyst must determine the risk level of the alert.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risk level is High, escalate the transaction to the Fraud Investigation Unit (FIU) and freeze the associated account pending investigation.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If the risk level is Low, apply enhanced monitoring to the account and proceed with the transaction after adding a manual review note.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Send an automated notification to the customer confirming the transaction status.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Update the transaction status in the core banking system and close the screening record.</w:t>
      </w:r>
    </w:p>
    <w:p w:rsidR="00000000" w:rsidDel="00000000" w:rsidP="00000000" w:rsidRDefault="00000000" w:rsidRPr="00000000" w14:paraId="00000018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spacing w:after="80" w:before="18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sz w:val="26"/>
          <w:szCs w:val="26"/>
          <w:rtl w:val="0"/>
        </w:rPr>
        <w:t xml:space="preserve">3. Escalation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80" w:lineRule="auto"/>
        <w:rPr/>
      </w:pPr>
      <w:r w:rsidDel="00000000" w:rsidR="00000000" w:rsidRPr="00000000">
        <w:rPr>
          <w:rFonts w:ascii="Arial" w:cs="Arial" w:eastAsia="Arial" w:hAnsi="Arial"/>
          <w:sz w:val="22"/>
          <w:szCs w:val="22"/>
          <w:rtl w:val="0"/>
        </w:rPr>
        <w:t xml:space="preserve">All High-risk escalations to FIU must be acknowledged by the FIU within 2 business hours. Failure to acknowledge triggers an automatic alert to the Head of Fraud Risk Management.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left w:color="1f497d" w:space="8" w:sz="4" w:val="single"/>
        </w:pBdr>
        <w:spacing w:after="120" w:before="60" w:lineRule="auto"/>
        <w:ind w:left="720" w:firstLine="0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f497d"/>
          <w:sz w:val="20"/>
          <w:szCs w:val="20"/>
          <w:rtl w:val="0"/>
        </w:rPr>
        <w:t xml:space="preserve">NOTE: </w:t>
      </w:r>
      <w:r w:rsidDel="00000000" w:rsidR="00000000" w:rsidRPr="00000000">
        <w:rPr>
          <w:rFonts w:ascii="Arial" w:cs="Arial" w:eastAsia="Arial" w:hAnsi="Arial"/>
          <w:i w:val="1"/>
          <w:iCs w:val="1"/>
          <w:sz w:val="20"/>
          <w:szCs w:val="20"/>
          <w:rtl w:val="0"/>
        </w:rPr>
        <w:t xml:space="preserve">For transactions involving PEP (Politically Exposed Persons), always treat as High risk regardless of FDE output. Refer to SOP-BANK-009.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497d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18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75b6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