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Standard Operating Procedure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SOP-BANK-004: Personal Loan Application Processing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Department: </w:t>
      </w:r>
      <w:r>
        <w:rPr>
          <w:rFonts w:ascii="Arial" w:cs="Arial" w:eastAsia="Arial" w:hAnsi="Arial"/>
          <w:sz w:val="20"/>
          <w:szCs w:val="20"/>
        </w:rPr>
        <w:t xml:space="preserve">Retail Lending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 </w:t>
      </w:r>
      <w:r>
        <w:rPr>
          <w:rFonts w:ascii="Arial" w:cs="Arial" w:eastAsia="Arial" w:hAnsi="Arial"/>
          <w:sz w:val="20"/>
          <w:szCs w:val="20"/>
        </w:rPr>
        <w:t xml:space="preserve">5.2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Effective Date: </w:t>
      </w:r>
      <w:r>
        <w:rPr>
          <w:rFonts w:ascii="Arial" w:cs="Arial" w:eastAsia="Arial" w:hAnsi="Arial"/>
          <w:sz w:val="20"/>
          <w:szCs w:val="20"/>
        </w:rPr>
        <w:t xml:space="preserve">January 15, 2025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 </w:t>
      </w:r>
      <w:r>
        <w:rPr>
          <w:rFonts w:ascii="Arial" w:cs="Arial" w:eastAsia="Arial" w:hAnsi="Arial"/>
          <w:sz w:val="20"/>
          <w:szCs w:val="20"/>
        </w:rPr>
        <w:t xml:space="preserve">Head of Retail Lending</w:t>
      </w:r>
    </w:p>
    <w:p>
      <w:pPr>
        <w:spacing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Purpose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procedure defines the end-to-end workflow for processing personal loan applications submitted through any channel (branch, mobile, or online portal). It covers initial receipt through final disbursement or rejection.</w:t>
      </w:r>
    </w:p>
    <w:p>
      <w:pPr>
        <w:spacing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Procedure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 the completed loan application and supporting documents (income proof, bank statements, 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initial completeness check on the application. If any mandatory document is missing, send a document deficiency notice to the applicant and suspend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application into the Loan Origination System (LOS) and assign a unique Application Reference Number (ARN).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automated credit bureau checks (CIBIL, Experian) via the LOS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the applicant's Debt-to-Income (DTI) ratio and credit score composite.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the application for underwriting review by a certified Loan Officer.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Loan Officer reviews all data and records the credit decision in 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loan is Approved, generate the Loan Sanction Letter, send it to the applicant via email and SMS, and proceed to the disbursement workflow (SOP-BANK-005).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loan is Conditionally Approved, list all conditions in LOS, notify the applicant of the pending conditions via email, and place the application in the Conditions Pending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loan is Rejected, generate a formal Rejection Notice citing the primary reason code, send it to the applicant, and update the application status to Closed-Rejected in 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 all application documents in the Document Management System under the ARN, regardless of decision outcome.</w:t>
      </w:r>
    </w:p>
    <w:p>
      <w:pPr>
        <w:spacing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Quality Check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loan decisions must be reviewed by the Branch Credit Manager within 24 hours of being recorded in LOS. Any decision flagged for review must be re-evaluated before the applicant is notified.</w:t>
      </w:r>
    </w:p>
    <w:p>
      <w:pPr>
        <w:spacing w:after="60"/>
      </w:pPr>
      <w:r>
        <w:t xml:space="preserve"/>
      </w:r>
    </w:p>
    <w:p>
      <w:pPr>
        <w:pBdr>
          <w:left w:val="single" w:color="1F497D" w:sz="4" w:space="8"/>
        </w:pBdr>
        <w:spacing w:before="60" w:after="120"/>
        <w:ind w:left="720"/>
      </w:pPr>
      <w:r>
        <w:rPr>
          <w:rFonts w:ascii="Arial" w:cs="Arial" w:eastAsia="Arial" w:hAnsi="Arial"/>
          <w:b/>
          <w:bCs/>
          <w:color w:val="1F497D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Regulatory requirement: The formal rejection notice must include the applicant's right to request a manual review within 30 days per applicable consumer protection law.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2026-03-17T17:39:28.668Z</dcterms:created>
  <dcterms:modified xsi:type="dcterms:W3CDTF">2026-03-17T17:39:28.668Z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