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240" w:after="120"/>
      </w:pPr>
      <w:r>
        <w:rPr>
          <w:rFonts w:ascii="Arial" w:cs="Arial" w:eastAsia="Arial" w:hAnsi="Arial"/>
          <w:b/>
          <w:bCs/>
          <w:sz w:val="32"/>
          <w:szCs w:val="32"/>
        </w:rPr>
        <w:t xml:space="preserve">Standard Operating Procedure</w:t>
      </w:r>
    </w:p>
    <w:p>
      <w:pPr>
        <w:pStyle w:val="Heading2"/>
        <w:spacing w:before="180" w:after="80"/>
      </w:pPr>
      <w:r>
        <w:rPr>
          <w:rFonts w:ascii="Arial" w:cs="Arial" w:eastAsia="Arial" w:hAnsi="Arial"/>
          <w:b/>
          <w:bCs/>
          <w:sz w:val="26"/>
          <w:szCs w:val="26"/>
        </w:rPr>
        <w:t xml:space="preserve">SOP-BANK-005: Account Closure Request Handling</w:t>
      </w:r>
    </w:p>
    <w:p>
      <w:pPr>
        <w:spacing w:after="60"/>
      </w:pPr>
      <w:r>
        <w:t xml:space="preserve"/>
      </w:r>
    </w:p>
    <w:p>
      <w:pPr>
        <w:spacing w:after="60"/>
      </w:pPr>
      <w:r>
        <w:rPr>
          <w:rFonts w:ascii="Arial" w:cs="Arial" w:eastAsia="Arial" w:hAnsi="Arial"/>
          <w:b/>
          <w:bCs/>
          <w:sz w:val="20"/>
          <w:szCs w:val="20"/>
        </w:rPr>
        <w:t xml:space="preserve">Department: </w:t>
      </w:r>
      <w:r>
        <w:rPr>
          <w:rFonts w:ascii="Arial" w:cs="Arial" w:eastAsia="Arial" w:hAnsi="Arial"/>
          <w:sz w:val="20"/>
          <w:szCs w:val="20"/>
        </w:rPr>
        <w:t xml:space="preserve">Customer Service Operations</w:t>
      </w:r>
    </w:p>
    <w:p>
      <w:pPr>
        <w:spacing w:after="60"/>
      </w:pPr>
      <w:r>
        <w:rPr>
          <w:rFonts w:ascii="Arial" w:cs="Arial" w:eastAsia="Arial" w:hAnsi="Arial"/>
          <w:b/>
          <w:bCs/>
          <w:sz w:val="20"/>
          <w:szCs w:val="20"/>
        </w:rPr>
        <w:t xml:space="preserve">Version: </w:t>
      </w:r>
      <w:r>
        <w:rPr>
          <w:rFonts w:ascii="Arial" w:cs="Arial" w:eastAsia="Arial" w:hAnsi="Arial"/>
          <w:sz w:val="20"/>
          <w:szCs w:val="20"/>
        </w:rPr>
        <w:t xml:space="preserve">2.3</w:t>
      </w:r>
    </w:p>
    <w:p>
      <w:pPr>
        <w:spacing w:after="60"/>
      </w:pPr>
      <w:r>
        <w:rPr>
          <w:rFonts w:ascii="Arial" w:cs="Arial" w:eastAsia="Arial" w:hAnsi="Arial"/>
          <w:b/>
          <w:bCs/>
          <w:sz w:val="20"/>
          <w:szCs w:val="20"/>
        </w:rPr>
        <w:t xml:space="preserve">Effective Date: </w:t>
      </w:r>
      <w:r>
        <w:rPr>
          <w:rFonts w:ascii="Arial" w:cs="Arial" w:eastAsia="Arial" w:hAnsi="Arial"/>
          <w:sz w:val="20"/>
          <w:szCs w:val="20"/>
        </w:rPr>
        <w:t xml:space="preserve">April 1, 2025</w:t>
      </w:r>
    </w:p>
    <w:p>
      <w:pPr>
        <w:spacing w:after="60"/>
      </w:pPr>
      <w:r>
        <w:rPr>
          <w:rFonts w:ascii="Arial" w:cs="Arial" w:eastAsia="Arial" w:hAnsi="Arial"/>
          <w:b/>
          <w:bCs/>
          <w:sz w:val="20"/>
          <w:szCs w:val="20"/>
        </w:rPr>
        <w:t xml:space="preserve">Owner: </w:t>
      </w:r>
      <w:r>
        <w:rPr>
          <w:rFonts w:ascii="Arial" w:cs="Arial" w:eastAsia="Arial" w:hAnsi="Arial"/>
          <w:sz w:val="20"/>
          <w:szCs w:val="20"/>
        </w:rPr>
        <w:t xml:space="preserve">VP Customer Operations</w:t>
      </w:r>
    </w:p>
    <w:p>
      <w:pPr>
        <w:spacing w:after="60"/>
      </w:pPr>
      <w:r>
        <w:t xml:space="preserve"/>
      </w:r>
    </w:p>
    <w:p>
      <w:pPr>
        <w:pStyle w:val="Heading2"/>
        <w:spacing w:before="180" w:after="80"/>
      </w:pPr>
      <w:r>
        <w:rPr>
          <w:rFonts w:ascii="Arial" w:cs="Arial" w:eastAsia="Arial" w:hAnsi="Arial"/>
          <w:b/>
          <w:bCs/>
          <w:sz w:val="26"/>
          <w:szCs w:val="26"/>
        </w:rPr>
        <w:t xml:space="preserve">1. Purpose</w:t>
      </w:r>
    </w:p>
    <w:p>
      <w:pPr>
        <w:spacing w:after="80"/>
      </w:pPr>
      <w:r>
        <w:rPr>
          <w:rFonts w:ascii="Arial" w:cs="Arial" w:eastAsia="Arial" w:hAnsi="Arial"/>
          <w:sz w:val="22"/>
          <w:szCs w:val="22"/>
        </w:rPr>
        <w:t xml:space="preserve">This procedure governs how the bank processes voluntary account closure requests initiated by the customer. It applies to all individual savings and current accounts.</w:t>
      </w:r>
    </w:p>
    <w:p>
      <w:pPr>
        <w:spacing w:after="60"/>
      </w:pPr>
      <w:r>
        <w:t xml:space="preserve"/>
      </w:r>
    </w:p>
    <w:p>
      <w:pPr>
        <w:pStyle w:val="Heading2"/>
        <w:spacing w:before="180" w:after="80"/>
      </w:pPr>
      <w:r>
        <w:rPr>
          <w:rFonts w:ascii="Arial" w:cs="Arial" w:eastAsia="Arial" w:hAnsi="Arial"/>
          <w:b/>
          <w:bCs/>
          <w:sz w:val="26"/>
          <w:szCs w:val="26"/>
        </w:rPr>
        <w:t xml:space="preserve">2. Pre-Conditions</w:t>
      </w:r>
    </w:p>
    <w:p>
      <w:pPr>
        <w:spacing w:after="80"/>
      </w:pPr>
      <w:r>
        <w:rPr>
          <w:rFonts w:ascii="Arial" w:cs="Arial" w:eastAsia="Arial" w:hAnsi="Arial"/>
          <w:sz w:val="22"/>
          <w:szCs w:val="22"/>
        </w:rPr>
        <w:t xml:space="preserve">Before initiating closure, the Customer Service Representative (CSR) must verify that the requesting customer is the primary account holder by confirming their registered mobile number and date of birth.</w:t>
      </w:r>
    </w:p>
    <w:p>
      <w:pPr>
        <w:spacing w:after="60"/>
      </w:pPr>
      <w:r>
        <w:t xml:space="preserve"/>
      </w:r>
    </w:p>
    <w:p>
      <w:pPr>
        <w:pStyle w:val="Heading2"/>
        <w:spacing w:before="180" w:after="80"/>
      </w:pPr>
      <w:r>
        <w:rPr>
          <w:rFonts w:ascii="Arial" w:cs="Arial" w:eastAsia="Arial" w:hAnsi="Arial"/>
          <w:b/>
          <w:bCs/>
          <w:sz w:val="26"/>
          <w:szCs w:val="26"/>
        </w:rPr>
        <w:t xml:space="preserve">3. Account Closure Workflow</w:t>
      </w:r>
    </w:p>
    <w:p>
      <w:pPr>
        <w:spacing w:after="80"/>
      </w:pPr>
      <w:r>
        <w:rPr>
          <w:rFonts w:ascii="Arial" w:cs="Arial" w:eastAsia="Arial" w:hAnsi="Arial"/>
          <w:sz w:val="22"/>
          <w:szCs w:val="22"/>
        </w:rPr>
        <w:t xml:space="preserve">The CSR begins by retrieving the account details from the core banking system using the account number provided by the customer. Once the account is located, the CSR reviews the account balance and any pending transactions.</w:t>
      </w:r>
    </w:p>
    <w:p>
      <w:pPr>
        <w:spacing w:after="60"/>
      </w:pPr>
      <w:r>
        <w:t xml:space="preserve"/>
      </w:r>
    </w:p>
    <w:p>
      <w:pPr>
        <w:spacing w:after="80"/>
      </w:pPr>
      <w:r>
        <w:rPr>
          <w:rFonts w:ascii="Arial" w:cs="Arial" w:eastAsia="Arial" w:hAnsi="Arial"/>
          <w:sz w:val="22"/>
          <w:szCs w:val="22"/>
        </w:rPr>
        <w:t xml:space="preserve">If the account has a positive balance, the CSR must ask the customer for their preferred payout method (cash withdrawal, transfer to another account, or demand draft). The payout is processed according to the customer's choice before closure proceeds.</w:t>
      </w:r>
    </w:p>
    <w:p>
      <w:pPr>
        <w:spacing w:after="60"/>
      </w:pPr>
      <w:r>
        <w:t xml:space="preserve"/>
      </w:r>
    </w:p>
    <w:p>
      <w:pPr>
        <w:spacing w:after="80"/>
      </w:pPr>
      <w:r>
        <w:rPr>
          <w:rFonts w:ascii="Arial" w:cs="Arial" w:eastAsia="Arial" w:hAnsi="Arial"/>
          <w:sz w:val="22"/>
          <w:szCs w:val="22"/>
        </w:rPr>
        <w:t xml:space="preserve">If the account balance is zero and there are no pending transactions, the CSR proceeds directly to initiating the closure request in the core banking system.</w:t>
      </w:r>
    </w:p>
    <w:p>
      <w:pPr>
        <w:spacing w:after="60"/>
      </w:pPr>
      <w:r>
        <w:t xml:space="preserve"/>
      </w:r>
    </w:p>
    <w:p>
      <w:pPr>
        <w:spacing w:after="80"/>
      </w:pPr>
      <w:r>
        <w:rPr>
          <w:rFonts w:ascii="Arial" w:cs="Arial" w:eastAsia="Arial" w:hAnsi="Arial"/>
          <w:sz w:val="22"/>
          <w:szCs w:val="22"/>
        </w:rPr>
        <w:t xml:space="preserve">Before confirming the closure, the CSR must check whether any linked products exist on the account, such as a linked fixed deposit, loan, or standing instruction. If linked products are present, the customer must first delink or foreclose these products. The CSR sends the customer a Linked Products Resolution Notice and places the closure request on hold until resolved.</w:t>
      </w:r>
    </w:p>
    <w:p>
      <w:pPr>
        <w:spacing w:after="60"/>
      </w:pPr>
      <w:r>
        <w:t xml:space="preserve"/>
      </w:r>
    </w:p>
    <w:p>
      <w:pPr>
        <w:spacing w:after="80"/>
      </w:pPr>
      <w:r>
        <w:rPr>
          <w:rFonts w:ascii="Arial" w:cs="Arial" w:eastAsia="Arial" w:hAnsi="Arial"/>
          <w:sz w:val="22"/>
          <w:szCs w:val="22"/>
        </w:rPr>
        <w:t xml:space="preserve">Once all conditions are cleared, the CSR submits the closure request in the core banking system. The system generates a Closure Reference Number (CRN). The CSR reads the CRN to the customer and sends a closure confirmation SMS to the customer's registered mobile number.</w:t>
      </w:r>
    </w:p>
    <w:p>
      <w:pPr>
        <w:spacing w:after="60"/>
      </w:pPr>
      <w:r>
        <w:t xml:space="preserve"/>
      </w:r>
    </w:p>
    <w:p>
      <w:pPr>
        <w:pStyle w:val="ListParagraph"/>
        <w:numPr>
          <w:ilvl w:val="0"/>
          <w:numId w:val="2"/>
        </w:numPr>
        <w:spacing w:after="80"/>
      </w:pPr>
      <w:r>
        <w:rPr>
          <w:rFonts w:ascii="Arial" w:cs="Arial" w:eastAsia="Arial" w:hAnsi="Arial"/>
          <w:sz w:val="22"/>
          <w:szCs w:val="22"/>
        </w:rPr>
        <w:t xml:space="preserve">Log the completed closure in the daily CSR activity report.</w:t>
      </w:r>
    </w:p>
    <w:p>
      <w:pPr>
        <w:pStyle w:val="ListParagraph"/>
        <w:numPr>
          <w:ilvl w:val="0"/>
          <w:numId w:val="2"/>
        </w:numPr>
        <w:spacing w:after="80"/>
      </w:pPr>
      <w:r>
        <w:rPr>
          <w:rFonts w:ascii="Arial" w:cs="Arial" w:eastAsia="Arial" w:hAnsi="Arial"/>
          <w:sz w:val="22"/>
          <w:szCs w:val="22"/>
        </w:rPr>
        <w:t xml:space="preserve">Escalate any unresolved cases to the Branch Manager by end of business day.</w:t>
      </w:r>
    </w:p>
    <w:p>
      <w:pPr>
        <w:spacing w:after="60"/>
      </w:pPr>
      <w:r>
        <w:t xml:space="preserve"/>
      </w:r>
    </w:p>
    <w:p>
      <w:pPr>
        <w:pStyle w:val="Heading2"/>
        <w:spacing w:before="180" w:after="80"/>
      </w:pPr>
      <w:r>
        <w:rPr>
          <w:rFonts w:ascii="Arial" w:cs="Arial" w:eastAsia="Arial" w:hAnsi="Arial"/>
          <w:b/>
          <w:bCs/>
          <w:sz w:val="26"/>
          <w:szCs w:val="26"/>
        </w:rPr>
        <w:t xml:space="preserve">4. Closure Timeline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Account Type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Standard Closure Time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With Linked Products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Savings Account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Same business day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3–5 business days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Current Account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1–2 business days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5–7 business days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Joint Account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2–3 business days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7–10 business days</w:t>
            </w:r>
          </w:p>
        </w:tc>
      </w:tr>
    </w:tbl>
    <w:p>
      <w:pPr>
        <w:spacing w:after="60"/>
      </w:pPr>
      <w:r>
        <w:t xml:space="preserve"/>
      </w:r>
    </w:p>
    <w:p>
      <w:pPr>
        <w:pBdr>
          <w:left w:val="single" w:color="1F497D" w:sz="4" w:space="8"/>
        </w:pBdr>
        <w:spacing w:before="60" w:after="120"/>
        <w:ind w:left="720"/>
      </w:pPr>
      <w:r>
        <w:rPr>
          <w:rFonts w:ascii="Arial" w:cs="Arial" w:eastAsia="Arial" w:hAnsi="Arial"/>
          <w:b/>
          <w:bCs/>
          <w:color w:val="1F497D"/>
          <w:sz w:val="20"/>
          <w:szCs w:val="20"/>
        </w:rPr>
        <w:t xml:space="preserve">NOTE: </w:t>
      </w:r>
      <w:r>
        <w:rPr>
          <w:rFonts w:ascii="Arial" w:cs="Arial" w:eastAsia="Arial" w:hAnsi="Arial"/>
          <w:i/>
          <w:iCs/>
          <w:sz w:val="20"/>
          <w:szCs w:val="20"/>
        </w:rPr>
        <w:t xml:space="preserve">Joint accounts require written consent from all account holders before closure can proceed. Verbal consent is not accepted.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lowerLetter"/>
      <w:lvlText w:val="%1."/>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lowerLetter"/>
      <w:lvlText w:val="%1."/>
      <w:lvlJc w:val="left"/>
      <w:pPr>
        <w:ind w:left="1440" w:hanging="36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F497D"/>
      <w:sz w:val="32"/>
      <w:szCs w:val="32"/>
    </w:rPr>
  </w:style>
  <w:style w:type="paragraph" w:styleId="Heading2">
    <w:name w:val="Heading 2"/>
    <w:basedOn w:val="Normal"/>
    <w:next w:val="Normal"/>
    <w:qFormat/>
    <w:pPr>
      <w:spacing w:before="18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2026-03-17T17:39:28.753Z</dcterms:created>
  <dcterms:modified xsi:type="dcterms:W3CDTF">2026-03-17T17:39:28.753Z</dcterms:modified>
</cp:coreProperties>
</file>

<file path=docProps/custom.xml><?xml version="1.0" encoding="utf-8"?>
<Properties xmlns="http://schemas.openxmlformats.org/officeDocument/2006/custom-properties" xmlns:vt="http://schemas.openxmlformats.org/officeDocument/2006/docPropsVTypes"/>
</file>