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rPr>
          <w:rFonts w:ascii="Arial" w:cs="Arial" w:eastAsia="Arial" w:hAnsi="Arial"/>
          <w:b/>
          <w:bCs/>
          <w:sz w:val="32"/>
          <w:szCs w:val="32"/>
        </w:rPr>
        <w:t xml:space="preserve">Standard Operating Procedure</w:t>
      </w:r>
    </w:p>
    <w:p>
      <w:pPr>
        <w:pStyle w:val="Heading2"/>
        <w:spacing w:before="180" w:after="80"/>
      </w:pPr>
      <w:r>
        <w:rPr>
          <w:rFonts w:ascii="Arial" w:cs="Arial" w:eastAsia="Arial" w:hAnsi="Arial"/>
          <w:b/>
          <w:bCs/>
          <w:sz w:val="26"/>
          <w:szCs w:val="26"/>
        </w:rPr>
        <w:t xml:space="preserve">SOP-BANK-006: Corporate Wire Transfer — Same-Day Processing</w:t>
      </w:r>
    </w:p>
    <w:p>
      <w:pPr>
        <w:spacing w:after="60"/>
      </w:pPr>
      <w:r>
        <w:t xml:space="preserve"/>
      </w:r>
    </w:p>
    <w:p>
      <w:pPr>
        <w:spacing w:after="60"/>
      </w:pPr>
      <w:r>
        <w:rPr>
          <w:rFonts w:ascii="Arial" w:cs="Arial" w:eastAsia="Arial" w:hAnsi="Arial"/>
          <w:b/>
          <w:bCs/>
          <w:sz w:val="20"/>
          <w:szCs w:val="20"/>
        </w:rPr>
        <w:t xml:space="preserve">Department: </w:t>
      </w:r>
      <w:r>
        <w:rPr>
          <w:rFonts w:ascii="Arial" w:cs="Arial" w:eastAsia="Arial" w:hAnsi="Arial"/>
          <w:sz w:val="20"/>
          <w:szCs w:val="20"/>
        </w:rPr>
        <w:t xml:space="preserve">Corporate Banking &amp; Payments</w:t>
      </w:r>
    </w:p>
    <w:p>
      <w:pPr>
        <w:spacing w:after="60"/>
      </w:pPr>
      <w:r>
        <w:rPr>
          <w:rFonts w:ascii="Arial" w:cs="Arial" w:eastAsia="Arial" w:hAnsi="Arial"/>
          <w:b/>
          <w:bCs/>
          <w:sz w:val="20"/>
          <w:szCs w:val="20"/>
        </w:rPr>
        <w:t xml:space="preserve">Version: </w:t>
      </w:r>
      <w:r>
        <w:rPr>
          <w:rFonts w:ascii="Arial" w:cs="Arial" w:eastAsia="Arial" w:hAnsi="Arial"/>
          <w:sz w:val="20"/>
          <w:szCs w:val="20"/>
        </w:rPr>
        <w:t xml:space="preserve">4.0</w:t>
      </w:r>
    </w:p>
    <w:p>
      <w:pPr>
        <w:spacing w:after="60"/>
      </w:pPr>
      <w:r>
        <w:rPr>
          <w:rFonts w:ascii="Arial" w:cs="Arial" w:eastAsia="Arial" w:hAnsi="Arial"/>
          <w:b/>
          <w:bCs/>
          <w:sz w:val="20"/>
          <w:szCs w:val="20"/>
        </w:rPr>
        <w:t xml:space="preserve">Effective Date: </w:t>
      </w:r>
      <w:r>
        <w:rPr>
          <w:rFonts w:ascii="Arial" w:cs="Arial" w:eastAsia="Arial" w:hAnsi="Arial"/>
          <w:sz w:val="20"/>
          <w:szCs w:val="20"/>
        </w:rPr>
        <w:t xml:space="preserve">May 1, 2025</w:t>
      </w:r>
    </w:p>
    <w:p>
      <w:pPr>
        <w:spacing w:after="60"/>
      </w:pPr>
      <w:r>
        <w:rPr>
          <w:rFonts w:ascii="Arial" w:cs="Arial" w:eastAsia="Arial" w:hAnsi="Arial"/>
          <w:b/>
          <w:bCs/>
          <w:sz w:val="20"/>
          <w:szCs w:val="20"/>
        </w:rPr>
        <w:t xml:space="preserve">Owner: </w:t>
      </w:r>
      <w:r>
        <w:rPr>
          <w:rFonts w:ascii="Arial" w:cs="Arial" w:eastAsia="Arial" w:hAnsi="Arial"/>
          <w:sz w:val="20"/>
          <w:szCs w:val="20"/>
        </w:rPr>
        <w:t xml:space="preserve">Head of Payments Operations</w:t>
      </w:r>
    </w:p>
    <w:p>
      <w:pPr>
        <w:spacing w:after="60"/>
      </w:pPr>
      <w:r>
        <w:t xml:space="preserve"/>
      </w:r>
    </w:p>
    <w:p>
      <w:pPr>
        <w:pStyle w:val="Heading2"/>
        <w:spacing w:before="180" w:after="80"/>
      </w:pPr>
      <w:r>
        <w:rPr>
          <w:rFonts w:ascii="Arial" w:cs="Arial" w:eastAsia="Arial" w:hAnsi="Arial"/>
          <w:b/>
          <w:bCs/>
          <w:sz w:val="26"/>
          <w:szCs w:val="26"/>
        </w:rPr>
        <w:t xml:space="preserve">1. Purpose</w:t>
      </w:r>
    </w:p>
    <w:p>
      <w:pPr>
        <w:spacing w:after="80"/>
      </w:pPr>
      <w:r>
        <w:rPr>
          <w:rFonts w:ascii="Arial" w:cs="Arial" w:eastAsia="Arial" w:hAnsi="Arial"/>
          <w:sz w:val="22"/>
          <w:szCs w:val="22"/>
        </w:rPr>
        <w:t xml:space="preserve">This SOP defines the process for executing same-day corporate wire transfers initiated by verified corporate clients. It applies to all SWIFT and domestic RTGS transactions above USD 100,000.</w:t>
      </w:r>
    </w:p>
    <w:p>
      <w:pPr>
        <w:spacing w:after="60"/>
      </w:pPr>
      <w:r>
        <w:t xml:space="preserve"/>
      </w:r>
    </w:p>
    <w:p>
      <w:pPr>
        <w:pStyle w:val="Heading2"/>
        <w:spacing w:before="180" w:after="80"/>
      </w:pPr>
      <w:r>
        <w:rPr>
          <w:rFonts w:ascii="Arial" w:cs="Arial" w:eastAsia="Arial" w:hAnsi="Arial"/>
          <w:b/>
          <w:bCs/>
          <w:sz w:val="26"/>
          <w:szCs w:val="26"/>
        </w:rPr>
        <w:t xml:space="preserve">2. Procedure Steps</w:t>
      </w:r>
    </w:p>
    <w:p>
      <w:pPr>
        <w:pStyle w:val="ListParagraph"/>
        <w:numPr>
          <w:ilvl w:val="0"/>
          <w:numId w:val="2"/>
        </w:numPr>
        <w:spacing w:after="80"/>
      </w:pPr>
      <w:r>
        <w:rPr>
          <w:rFonts w:ascii="Arial" w:cs="Arial" w:eastAsia="Arial" w:hAnsi="Arial"/>
          <w:sz w:val="22"/>
          <w:szCs w:val="22"/>
        </w:rPr>
        <w:t xml:space="preserve">Receive the wire transfer instruction from the corporate client via the Corporate Banking Portal or authenticated SWIFT MT101 message.</w:t>
      </w:r>
    </w:p>
    <w:p>
      <w:pPr>
        <w:pStyle w:val="ListParagraph"/>
        <w:numPr>
          <w:ilvl w:val="0"/>
          <w:numId w:val="2"/>
        </w:numPr>
        <w:spacing w:after="80"/>
      </w:pPr>
      <w:r>
        <w:rPr>
          <w:rFonts w:ascii="Arial" w:cs="Arial" w:eastAsia="Arial" w:hAnsi="Arial"/>
          <w:sz w:val="22"/>
          <w:szCs w:val="22"/>
        </w:rPr>
        <w:t xml:space="preserve">Validate the transfer instruction format and authenticate the digital signature against the client's registered signing certificate.</w:t>
      </w:r>
    </w:p>
    <w:p>
      <w:pPr>
        <w:pStyle w:val="ListParagraph"/>
        <w:numPr>
          <w:ilvl w:val="0"/>
          <w:numId w:val="2"/>
        </w:numPr>
        <w:spacing w:after="80"/>
      </w:pPr>
      <w:r>
        <w:rPr>
          <w:rFonts w:ascii="Arial" w:cs="Arial" w:eastAsia="Arial" w:hAnsi="Arial"/>
          <w:sz w:val="22"/>
          <w:szCs w:val="22"/>
        </w:rPr>
        <w:t xml:space="preserve">Check that sufficient cleared funds are available in the client's nostro account to cover the transfer amount plus applicable fees.</w:t>
      </w:r>
    </w:p>
    <w:p>
      <w:pPr>
        <w:pStyle w:val="ListParagraph"/>
        <w:numPr>
          <w:ilvl w:val="0"/>
          <w:numId w:val="2"/>
        </w:numPr>
        <w:spacing w:after="80"/>
      </w:pPr>
      <w:r>
        <w:rPr>
          <w:rFonts w:ascii="Arial" w:cs="Arial" w:eastAsia="Arial" w:hAnsi="Arial"/>
          <w:sz w:val="22"/>
          <w:szCs w:val="22"/>
        </w:rPr>
        <w:t xml:space="preserve">If funds are insufficient, send an Insufficient Funds notification to the corporate client and suspend the instruction. Retry this check up to 3 times at 30-minute intervals before escalating to the Relationship Manager.</w:t>
      </w:r>
    </w:p>
    <w:p>
      <w:pPr>
        <w:pStyle w:val="ListParagraph"/>
        <w:numPr>
          <w:ilvl w:val="0"/>
          <w:numId w:val="2"/>
        </w:numPr>
        <w:spacing w:after="80"/>
      </w:pPr>
      <w:r>
        <w:rPr>
          <w:rFonts w:ascii="Arial" w:cs="Arial" w:eastAsia="Arial" w:hAnsi="Arial"/>
          <w:sz w:val="22"/>
          <w:szCs w:val="22"/>
        </w:rPr>
        <w:t xml:space="preserve">Once funds are confirmed, initiate the pre-settlement compliance check. Simultaneously, send a pre-advice notification to the beneficiary bank via SWIFT MT199.</w:t>
      </w:r>
    </w:p>
    <w:p>
      <w:pPr>
        <w:pStyle w:val="ListParagraph"/>
        <w:numPr>
          <w:ilvl w:val="0"/>
          <w:numId w:val="2"/>
        </w:numPr>
        <w:spacing w:after="80"/>
      </w:pPr>
      <w:r>
        <w:rPr>
          <w:rFonts w:ascii="Arial" w:cs="Arial" w:eastAsia="Arial" w:hAnsi="Arial"/>
          <w:sz w:val="22"/>
          <w:szCs w:val="22"/>
        </w:rPr>
        <w:t xml:space="preserve">The compliance check and the pre-advice notification must both complete before proceeding.</w:t>
      </w:r>
    </w:p>
    <w:p>
      <w:pPr>
        <w:pStyle w:val="ListParagraph"/>
        <w:numPr>
          <w:ilvl w:val="0"/>
          <w:numId w:val="2"/>
        </w:numPr>
        <w:spacing w:after="80"/>
      </w:pPr>
      <w:r>
        <w:rPr>
          <w:rFonts w:ascii="Arial" w:cs="Arial" w:eastAsia="Arial" w:hAnsi="Arial"/>
          <w:sz w:val="22"/>
          <w:szCs w:val="22"/>
        </w:rPr>
        <w:t xml:space="preserve">If the compliance check flags any sanctions or AML concerns, hold the transaction and escalate immediately to the Compliance Officer. Do not proceed until cleared.</w:t>
      </w:r>
    </w:p>
    <w:p>
      <w:pPr>
        <w:pStyle w:val="ListParagraph"/>
        <w:numPr>
          <w:ilvl w:val="0"/>
          <w:numId w:val="2"/>
        </w:numPr>
        <w:spacing w:after="80"/>
      </w:pPr>
      <w:r>
        <w:rPr>
          <w:rFonts w:ascii="Arial" w:cs="Arial" w:eastAsia="Arial" w:hAnsi="Arial"/>
          <w:sz w:val="22"/>
          <w:szCs w:val="22"/>
        </w:rPr>
        <w:t xml:space="preserve">If the compliance check passes, release the payment order to the settlement engine.</w:t>
      </w:r>
    </w:p>
    <w:p>
      <w:pPr>
        <w:pStyle w:val="ListParagraph"/>
        <w:numPr>
          <w:ilvl w:val="0"/>
          <w:numId w:val="2"/>
        </w:numPr>
        <w:spacing w:after="80"/>
      </w:pPr>
      <w:r>
        <w:rPr>
          <w:rFonts w:ascii="Arial" w:cs="Arial" w:eastAsia="Arial" w:hAnsi="Arial"/>
          <w:sz w:val="22"/>
          <w:szCs w:val="22"/>
        </w:rPr>
        <w:t xml:space="preserve">Monitor the SWIFT acknowledgment queue. If no ACK is received within 30 minutes, resend the payment order once. If the second attempt also fails, escalate to the Payments Ops Manager and log a critical incident.</w:t>
      </w:r>
    </w:p>
    <w:p>
      <w:pPr>
        <w:pStyle w:val="ListParagraph"/>
        <w:numPr>
          <w:ilvl w:val="0"/>
          <w:numId w:val="2"/>
        </w:numPr>
        <w:spacing w:after="80"/>
      </w:pPr>
      <w:r>
        <w:rPr>
          <w:rFonts w:ascii="Arial" w:cs="Arial" w:eastAsia="Arial" w:hAnsi="Arial"/>
          <w:sz w:val="22"/>
          <w:szCs w:val="22"/>
        </w:rPr>
        <w:t xml:space="preserve">Upon receiving the SWIFT ACK confirming settlement, update the transaction status to Settled in the payments ledger.</w:t>
      </w:r>
    </w:p>
    <w:p>
      <w:pPr>
        <w:pStyle w:val="ListParagraph"/>
        <w:numPr>
          <w:ilvl w:val="0"/>
          <w:numId w:val="2"/>
        </w:numPr>
        <w:spacing w:after="80"/>
      </w:pPr>
      <w:r>
        <w:rPr>
          <w:rFonts w:ascii="Arial" w:cs="Arial" w:eastAsia="Arial" w:hAnsi="Arial"/>
          <w:sz w:val="22"/>
          <w:szCs w:val="22"/>
        </w:rPr>
        <w:t xml:space="preserve">Send the final transaction confirmation advice to the corporate client via the Corporate Banking Portal and email.</w:t>
      </w:r>
    </w:p>
    <w:p>
      <w:pPr>
        <w:pStyle w:val="ListParagraph"/>
        <w:numPr>
          <w:ilvl w:val="0"/>
          <w:numId w:val="2"/>
        </w:numPr>
        <w:spacing w:after="80"/>
      </w:pPr>
      <w:r>
        <w:rPr>
          <w:rFonts w:ascii="Arial" w:cs="Arial" w:eastAsia="Arial" w:hAnsi="Arial"/>
          <w:sz w:val="22"/>
          <w:szCs w:val="22"/>
        </w:rPr>
        <w:t xml:space="preserve">Reconcile the settled transaction against the nostro account statement in the reconciliation system.</w:t>
      </w:r>
    </w:p>
    <w:p>
      <w:pPr>
        <w:spacing w:after="60"/>
      </w:pPr>
      <w:r>
        <w:t xml:space="preserve"/>
      </w:r>
    </w:p>
    <w:p>
      <w:pPr>
        <w:pStyle w:val="Heading2"/>
        <w:spacing w:before="180" w:after="80"/>
      </w:pPr>
      <w:r>
        <w:rPr>
          <w:rFonts w:ascii="Arial" w:cs="Arial" w:eastAsia="Arial" w:hAnsi="Arial"/>
          <w:b/>
          <w:bCs/>
          <w:sz w:val="26"/>
          <w:szCs w:val="26"/>
        </w:rPr>
        <w:t xml:space="preserve">3. SLA Requirements</w:t>
      </w:r>
    </w:p>
    <w:p>
      <w:pPr>
        <w:spacing w:after="80"/>
      </w:pPr>
      <w:r>
        <w:rPr>
          <w:rFonts w:ascii="Arial" w:cs="Arial" w:eastAsia="Arial" w:hAnsi="Arial"/>
          <w:sz w:val="22"/>
          <w:szCs w:val="22"/>
        </w:rPr>
        <w:t xml:space="preserve">Same-day wire transfers must be initiated by 14:00 local branch time to guarantee same-day settlement. Transfers received after the cut-off are automatically queued for next-business-day processing.</w:t>
      </w:r>
    </w:p>
    <w:p>
      <w:pPr>
        <w:spacing w:after="60"/>
      </w:pPr>
      <w:r>
        <w:t xml:space="preserve"/>
      </w:r>
    </w:p>
    <w:p>
      <w:pPr>
        <w:pBdr>
          <w:left w:val="single" w:color="1F497D" w:sz="4" w:space="8"/>
        </w:pBdr>
        <w:spacing w:before="60" w:after="120"/>
        <w:ind w:left="720"/>
      </w:pPr>
      <w:r>
        <w:rPr>
          <w:rFonts w:ascii="Arial" w:cs="Arial" w:eastAsia="Arial" w:hAnsi="Arial"/>
          <w:b/>
          <w:bCs/>
          <w:color w:val="1F497D"/>
          <w:sz w:val="20"/>
          <w:szCs w:val="20"/>
        </w:rPr>
        <w:t xml:space="preserve">NOTE: </w:t>
      </w:r>
      <w:r>
        <w:rPr>
          <w:rFonts w:ascii="Arial" w:cs="Arial" w:eastAsia="Arial" w:hAnsi="Arial"/>
          <w:i/>
          <w:iCs/>
          <w:sz w:val="20"/>
          <w:szCs w:val="20"/>
        </w:rPr>
        <w:t xml:space="preserve">All SWIFT messages must be transmitted over the dedicated leased-line SWIFTNet connection. Public internet fallback is not permitted for transactions above USD 500,000.</w:t>
      </w:r>
    </w:p>
    <w:p>
      <w:pPr>
        <w:spacing w:after="60"/>
      </w:pPr>
      <w:r>
        <w:t xml:space="preserve"/>
      </w:r>
    </w:p>
    <w:p>
      <w:pPr>
        <w:pStyle w:val="Heading2"/>
        <w:spacing w:before="180" w:after="80"/>
      </w:pPr>
      <w:r>
        <w:rPr>
          <w:rFonts w:ascii="Arial" w:cs="Arial" w:eastAsia="Arial" w:hAnsi="Arial"/>
          <w:b/>
          <w:bCs/>
          <w:sz w:val="26"/>
          <w:szCs w:val="26"/>
        </w:rPr>
        <w:t xml:space="preserve">4. Incident Escalation Matrix</w:t>
      </w:r>
    </w:p>
    <w:p>
      <w:pPr>
        <w:spacing w:after="80"/>
      </w:pPr>
      <w:r>
        <w:rPr>
          <w:rFonts w:ascii="Arial" w:cs="Arial" w:eastAsia="Arial" w:hAnsi="Arial"/>
          <w:sz w:val="22"/>
          <w:szCs w:val="22"/>
        </w:rPr>
        <w:t xml:space="preserve">Any transaction that remains in a non-terminal state (Pending/Held) beyond 4 business hours must be manually reviewed by the Payments Ops Manager and reported to the Head of Payments Operations before end of business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97D"/>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2026-03-17T17:39:28.779Z</dcterms:created>
  <dcterms:modified xsi:type="dcterms:W3CDTF">2026-03-17T17:39:28.779Z</dcterms:modified>
</cp:coreProperties>
</file>

<file path=docProps/custom.xml><?xml version="1.0" encoding="utf-8"?>
<Properties xmlns="http://schemas.openxmlformats.org/officeDocument/2006/custom-properties" xmlns:vt="http://schemas.openxmlformats.org/officeDocument/2006/docPropsVTypes"/>
</file>