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95B52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995B52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995B52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95B52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95B52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995B52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995B52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99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995B52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#1:</w:t>
            </w: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605BB7" w:rsidRDefault="00003B61" w:rsidP="00003B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</w:t>
            </w:r>
            <w:r>
              <w:rPr>
                <w:b/>
                <w:color w:val="E36C0A" w:themeColor="accent6" w:themeShade="BF"/>
              </w:rPr>
              <w:t>2</w:t>
            </w:r>
            <w:r w:rsidRPr="00AB6803">
              <w:rPr>
                <w:b/>
                <w:color w:val="E36C0A" w:themeColor="accent6" w:themeShade="BF"/>
              </w:rPr>
              <w:t>:</w:t>
            </w: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995B52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</w:p>
          <w:p w:rsidR="008A4E59" w:rsidRPr="008A4E59" w:rsidRDefault="008A4E59" w:rsidP="008A4E5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1705A0" w:rsidRDefault="00FC4BC9" w:rsidP="00D74849">
            <w:pPr>
              <w:rPr>
                <w:sz w:val="18"/>
              </w:rPr>
            </w:pPr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5pt;height:141pt" o:ole="">
                  <v:imagedata r:id="rId12" o:title=""/>
                </v:shape>
                <o:OLEObject Type="Embed" ProgID="Visio.Drawing.15" ShapeID="_x0000_i1025" DrawAspect="Content" ObjectID="_1525375583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5pt;height:46pt" o:ole="">
                  <v:imagedata r:id="rId14" o:title=""/>
                </v:shape>
                <o:OLEObject Type="Embed" ProgID="Visio.Drawing.15" ShapeID="_x0000_i1026" DrawAspect="Content" ObjectID="_1525375584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8D773B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</w:t>
            </w:r>
            <w:r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>
              <w:t>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C038F9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136031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136031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8D773B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8963DD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D03B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D83710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D03B7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pred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D83710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D83710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⊢λ x .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bookmarkStart w:id="0" w:name="_GoBack"/>
      <w:bookmarkEnd w:id="0"/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817985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</w:t>
            </w:r>
            <w:proofErr w:type="gramStart"/>
            <w:r>
              <w:t>a the</w:t>
            </w:r>
            <w:proofErr w:type="gramEnd"/>
            <w:r>
              <w:t xml:space="preserve"> level of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r>
              <w:t xml:space="preserve"> (i.e., local variables)</w:t>
            </w: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proofErr w:type="gramEnd"/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F4" w:rsidRDefault="008A26F4" w:rsidP="00664A47">
      <w:r>
        <w:separator/>
      </w:r>
    </w:p>
  </w:endnote>
  <w:endnote w:type="continuationSeparator" w:id="0">
    <w:p w:rsidR="008A26F4" w:rsidRDefault="008A26F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52" w:rsidRDefault="00995B5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5B72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F4" w:rsidRDefault="008A26F4" w:rsidP="00664A47">
      <w:r>
        <w:separator/>
      </w:r>
    </w:p>
  </w:footnote>
  <w:footnote w:type="continuationSeparator" w:id="0">
    <w:p w:rsidR="008A26F4" w:rsidRDefault="008A26F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5B72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A02AC"/>
    <w:rsid w:val="008A0701"/>
    <w:rsid w:val="008A12ED"/>
    <w:rsid w:val="008A21FE"/>
    <w:rsid w:val="008A2688"/>
    <w:rsid w:val="008A26F4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7F2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5EBD0-12FA-4145-AF5E-C8E9F7BB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15360</TotalTime>
  <Pages>33</Pages>
  <Words>13351</Words>
  <Characters>76104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2788</cp:revision>
  <cp:lastPrinted>2016-05-22T05:28:00Z</cp:lastPrinted>
  <dcterms:created xsi:type="dcterms:W3CDTF">2015-09-07T23:01:00Z</dcterms:created>
  <dcterms:modified xsi:type="dcterms:W3CDTF">2016-05-22T05:38:00Z</dcterms:modified>
</cp:coreProperties>
</file>