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D751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proofErr w:type="spellStart"/>
            <w:r w:rsidR="002226B6">
              <w:rPr>
                <w:szCs w:val="16"/>
              </w:rPr>
              <w:t>tive</w:t>
            </w:r>
            <w:proofErr w:type="spellEnd"/>
            <w:r w:rsidR="002226B6">
              <w:rPr>
                <w:szCs w:val="16"/>
              </w:rPr>
              <w:t xml:space="preserve">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2D751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proofErr w:type="spellStart"/>
            <w:r w:rsidR="00403BE9">
              <w:rPr>
                <w:szCs w:val="16"/>
              </w:rPr>
              <w:t>tive</w:t>
            </w:r>
            <w:proofErr w:type="spellEnd"/>
            <w:r w:rsidR="00403BE9">
              <w:rPr>
                <w:szCs w:val="16"/>
              </w:rPr>
              <w:t xml:space="preserve">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2D751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proofErr w:type="spellStart"/>
            <w:r w:rsidR="00D74D33">
              <w:rPr>
                <w:szCs w:val="16"/>
              </w:rPr>
              <w:t>tive</w:t>
            </w:r>
            <w:proofErr w:type="spellEnd"/>
            <w:r w:rsidR="00D74D33">
              <w:rPr>
                <w:szCs w:val="16"/>
              </w:rPr>
              <w:t xml:space="preserve">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2D751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2D751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2D751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2D751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2D751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2D751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D751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D751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2D751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</w:t>
            </w:r>
            <w:proofErr w:type="spellStart"/>
            <w:r>
              <w:t>ble</w:t>
            </w:r>
            <w:proofErr w:type="spellEnd"/>
            <w:r>
              <w:t xml:space="preserve">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2D751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2D751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2D751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2D751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2D751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2D751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2D751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2D751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F92500">
              <w:rPr>
                <w:szCs w:val="6"/>
              </w:rPr>
              <w:t>Proximity</w:t>
            </w:r>
            <w:r w:rsidR="002C0A0A">
              <w:rPr>
                <w:szCs w:val="6"/>
              </w:rPr>
              <w:t xml:space="preserve">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D4620F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 xml:space="preserve">Limitations of </w:t>
            </w:r>
            <w:r w:rsidR="00D4620F">
              <w:rPr>
                <w:b/>
                <w:color w:val="0000FF"/>
                <w:szCs w:val="16"/>
              </w:rPr>
              <w:t xml:space="preserve">Agglomerative </w:t>
            </w:r>
          </w:p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 xml:space="preserve">to compare two different </w:t>
            </w:r>
            <w:proofErr w:type="spellStart"/>
            <w:r w:rsidRPr="00504BEB">
              <w:rPr>
                <w:b/>
                <w:color w:val="FF0000"/>
                <w:szCs w:val="16"/>
              </w:rPr>
              <w:t>clusterings</w:t>
            </w:r>
            <w:proofErr w:type="spellEnd"/>
            <w:r w:rsidRPr="00504BEB">
              <w:rPr>
                <w:b/>
                <w:color w:val="FF0000"/>
                <w:szCs w:val="16"/>
              </w:rPr>
              <w:t xml:space="preserve">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mean and standard deviation to estimate the likelihood the </w:t>
            </w:r>
            <w:r w:rsidR="009C2DFF">
              <w:t>measured value (e.g. SSE)</w:t>
            </w:r>
            <w:r>
              <w:t xml:space="preserve">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correlation to estimate whether the </w:t>
            </w:r>
            <w:r w:rsidR="00060C6E">
              <w:t>measured value</w:t>
            </w:r>
            <w:r>
              <w:t xml:space="preserve">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3"/>
        <w:gridCol w:w="2576"/>
        <w:gridCol w:w="2456"/>
        <w:gridCol w:w="4098"/>
      </w:tblGrid>
      <w:tr w:rsidR="00706BC0" w:rsidTr="002D751C">
        <w:trPr>
          <w:trHeight w:val="47"/>
          <w:jc w:val="center"/>
        </w:trPr>
        <w:tc>
          <w:tcPr>
            <w:tcW w:w="2458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582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46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4081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5D72816B" wp14:editId="0CDBCC9A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2D751C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610"/>
        <w:gridCol w:w="2394"/>
        <w:gridCol w:w="2754"/>
      </w:tblGrid>
      <w:tr w:rsidR="00F85E3B" w:rsidTr="006C12F5">
        <w:trPr>
          <w:jc w:val="center"/>
        </w:trPr>
        <w:tc>
          <w:tcPr>
            <w:tcW w:w="3258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61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Pr="001C2675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</w:tc>
        <w:tc>
          <w:tcPr>
            <w:tcW w:w="239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  <w:p w:rsidR="00F00741" w:rsidRDefault="00F00741" w:rsidP="006C12F5">
            <w:pPr>
              <w:rPr>
                <w:szCs w:val="16"/>
              </w:rPr>
            </w:pPr>
          </w:p>
          <w:p w:rsidR="00F00741" w:rsidRPr="006C12F5" w:rsidRDefault="00F00741" w:rsidP="006C12F5">
            <w:pPr>
              <w:rPr>
                <w:szCs w:val="16"/>
              </w:rPr>
            </w:pPr>
            <w:r w:rsidRPr="00E12F9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Select only mathematically meaningful properties for analysis.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</w:t>
            </w:r>
            <w:r w:rsidR="00910D3F">
              <w:rPr>
                <w:szCs w:val="16"/>
              </w:rPr>
              <w:t>algorithms</w:t>
            </w:r>
            <w:r>
              <w:rPr>
                <w:szCs w:val="16"/>
              </w:rPr>
              <w:t xml:space="preserve">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>Each cluster</w:t>
            </w:r>
            <w:proofErr w:type="gramStart"/>
            <w:r w:rsidRPr="00024CF8">
              <w:rPr>
                <w:b/>
                <w:color w:val="E36C0A" w:themeColor="accent6" w:themeShade="BF"/>
                <w:szCs w:val="6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2D751C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2D751C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</w:t>
            </w:r>
            <w:proofErr w:type="gramStart"/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point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>Randomly select a set of points as the initial Centroids.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2D751C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C95FF8" w:rsidP="0066478A">
            <w:pPr>
              <w:pStyle w:val="ListParagraph"/>
              <w:numPr>
                <w:ilvl w:val="0"/>
                <w:numId w:val="4"/>
              </w:numPr>
            </w:pPr>
            <w:r>
              <w:t>Termination may</w:t>
            </w:r>
            <w:r w:rsidR="009D4915" w:rsidRPr="009D4915">
              <w:t xml:space="preserve">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2D751C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2D751C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2D751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proofErr w:type="gramStart"/>
            <w:r w:rsidRPr="00240569">
              <w:rPr>
                <w:szCs w:val="16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</w:t>
            </w:r>
            <w:proofErr w:type="gramStart"/>
            <w:r w:rsidRPr="00130E9D">
              <w:rPr>
                <w:b/>
                <w:color w:val="FF0000"/>
                <w:szCs w:val="16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="00F83DC6">
              <w:rPr>
                <w:b/>
                <w:color w:val="E36C0A" w:themeColor="accent6" w:themeShade="BF"/>
                <w:szCs w:val="6"/>
              </w:rPr>
              <w:t xml:space="preserve"> or possibly split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C63524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  <w:proofErr w:type="gramEnd"/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924119" w:rsidRDefault="00924119" w:rsidP="00924119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924119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MinPts</m:t>
              </m:r>
            </m:oMath>
            <w:r w:rsidR="00335F7B" w:rsidRPr="00924119">
              <w:rPr>
                <w:color w:val="7030A0"/>
                <w:szCs w:val="16"/>
              </w:rPr>
              <w:t xml:space="preserve"> </w:t>
            </w:r>
            <w:r w:rsidR="00335F7B">
              <w:rPr>
                <w:szCs w:val="16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924119" w:rsidRDefault="00924119" w:rsidP="001110DE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16"/>
              </w:rPr>
              <w:t>Self Organizing</w:t>
            </w:r>
            <w:proofErr w:type="spellEnd"/>
            <w:r>
              <w:rPr>
                <w:b/>
                <w:color w:val="FFFFFF" w:themeColor="background1"/>
                <w:sz w:val="20"/>
                <w:szCs w:val="16"/>
              </w:rPr>
              <w:t xml:space="preserve">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924119" w:rsidP="008D3AAD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D3AAD" w:rsidRPr="00924119">
              <w:rPr>
                <w:b/>
                <w:color w:val="7030A0"/>
                <w:szCs w:val="16"/>
              </w:rPr>
              <w:t xml:space="preserve"> </w:t>
            </w:r>
            <w:r w:rsidR="008D3AAD">
              <w:rPr>
                <w:szCs w:val="16"/>
              </w:rPr>
              <w:t>(Number of Centroids)</w:t>
            </w:r>
          </w:p>
          <w:p w:rsidR="008D3AAD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924119" w:rsidRDefault="00924119" w:rsidP="00C702A4">
            <w:pPr>
              <w:jc w:val="center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τ</m:t>
                </m:r>
              </m:oMath>
            </m:oMathPara>
          </w:p>
          <w:p w:rsidR="00D75E4D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  <w:p w:rsidR="00030D29" w:rsidRPr="0024173C" w:rsidRDefault="00030D29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Cell Set Definition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A77CAF" w:rsidRDefault="00A77CA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35F7B" w:rsidRDefault="00335F7B" w:rsidP="009B7253">
      <w:pPr>
        <w:rPr>
          <w:sz w:val="6"/>
          <w:szCs w:val="6"/>
        </w:rPr>
      </w:pPr>
    </w:p>
    <w:p w:rsidR="00A77CAF" w:rsidRPr="00E614DE" w:rsidRDefault="00A77CAF" w:rsidP="00A77CAF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Project Presentations</w:t>
      </w:r>
    </w:p>
    <w:p w:rsidR="00A77CAF" w:rsidRDefault="00A77CAF" w:rsidP="00A77CAF">
      <w:pPr>
        <w:rPr>
          <w:sz w:val="6"/>
          <w:szCs w:val="6"/>
        </w:rPr>
      </w:pPr>
    </w:p>
    <w:p w:rsidR="00A77CAF" w:rsidRPr="001E47A8" w:rsidRDefault="00D31DCE" w:rsidP="00A77CAF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Aaron </w:t>
      </w:r>
      <w:proofErr w:type="spellStart"/>
      <w:r>
        <w:rPr>
          <w:b/>
          <w:sz w:val="24"/>
          <w:szCs w:val="6"/>
        </w:rPr>
        <w:t>Kosmatin</w:t>
      </w:r>
      <w:proofErr w:type="spellEnd"/>
      <w:r>
        <w:rPr>
          <w:b/>
          <w:sz w:val="24"/>
          <w:szCs w:val="6"/>
        </w:rPr>
        <w:t xml:space="preserve"> – C</w:t>
      </w:r>
      <w:r w:rsidR="00A77CAF">
        <w:rPr>
          <w:b/>
          <w:sz w:val="24"/>
          <w:szCs w:val="6"/>
        </w:rPr>
        <w:t>onvolutional Neural Networks</w:t>
      </w:r>
    </w:p>
    <w:p w:rsidR="00A77CAF" w:rsidRDefault="00A77CAF" w:rsidP="00A77CAF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F610F1" w:rsidTr="00D62C70">
        <w:trPr>
          <w:jc w:val="center"/>
        </w:trPr>
        <w:tc>
          <w:tcPr>
            <w:tcW w:w="2808" w:type="dxa"/>
            <w:vAlign w:val="center"/>
          </w:tcPr>
          <w:p w:rsidR="00F610F1" w:rsidRPr="00F610F1" w:rsidRDefault="00F610F1" w:rsidP="00575B3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Three Primary Concepts of a Convolutional Neural Network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Local Receptive Field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Shared Weights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Pooling</w:t>
            </w:r>
          </w:p>
          <w:p w:rsidR="00F610F1" w:rsidRPr="00F610F1" w:rsidRDefault="00F610F1" w:rsidP="00F610F1">
            <w:pPr>
              <w:ind w:left="216"/>
              <w:rPr>
                <w:szCs w:val="16"/>
              </w:rPr>
            </w:pPr>
          </w:p>
          <w:p w:rsidR="00A34974" w:rsidRPr="005348DE" w:rsidRDefault="00F610F1" w:rsidP="005348D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47385">
              <w:rPr>
                <w:b/>
                <w:color w:val="00B050"/>
                <w:szCs w:val="16"/>
              </w:rPr>
              <w:t>Strength of Convolutional Neural Networks</w:t>
            </w:r>
            <w:r w:rsidR="00347385">
              <w:rPr>
                <w:szCs w:val="16"/>
              </w:rPr>
              <w:t>:</w:t>
            </w:r>
            <w:r>
              <w:rPr>
                <w:szCs w:val="16"/>
              </w:rPr>
              <w:t xml:space="preserve"> Good at classifying images.</w:t>
            </w:r>
          </w:p>
        </w:tc>
        <w:tc>
          <w:tcPr>
            <w:tcW w:w="3060" w:type="dxa"/>
            <w:vAlign w:val="center"/>
          </w:tcPr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Hidden Layer</w:t>
            </w:r>
            <w:r w:rsidRPr="00947DDD">
              <w:rPr>
                <w:szCs w:val="16"/>
              </w:rPr>
              <w:t xml:space="preserve"> – All nodes in the hidden layer are connected to all nodes in the previous layer as well as all nodes in the next layer.</w:t>
            </w:r>
          </w:p>
          <w:p w:rsidR="00F610F1" w:rsidRPr="00ED4F3B" w:rsidRDefault="00F610F1" w:rsidP="003E7E4D">
            <w:pPr>
              <w:rPr>
                <w:szCs w:val="16"/>
              </w:rPr>
            </w:pPr>
          </w:p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szCs w:val="16"/>
              </w:rPr>
              <w:t>To do a pure hidden layer for the MNIST dataset, pixels that are far away would have the same footing as pixels that are nearby.</w:t>
            </w:r>
          </w:p>
          <w:p w:rsidR="00F610F1" w:rsidRDefault="00F610F1" w:rsidP="00947DD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75B3A">
              <w:rPr>
                <w:b/>
                <w:color w:val="00B050"/>
                <w:szCs w:val="16"/>
              </w:rPr>
              <w:t>Solution:</w:t>
            </w:r>
            <w:r w:rsidRPr="00575B3A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Group nearby pixels in the inner layer.</w:t>
            </w:r>
          </w:p>
          <w:p w:rsidR="00F610F1" w:rsidRPr="00575B3A" w:rsidRDefault="00F610F1" w:rsidP="003E7E4D">
            <w:pPr>
              <w:ind w:left="216"/>
              <w:rPr>
                <w:szCs w:val="16"/>
              </w:rPr>
            </w:pPr>
          </w:p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Local Receptive field</w:t>
            </w:r>
            <w:r w:rsidRPr="00947DDD">
              <w:rPr>
                <w:b/>
                <w:color w:val="00B050"/>
                <w:szCs w:val="16"/>
              </w:rPr>
              <w:t xml:space="preserve"> </w:t>
            </w:r>
            <w:r w:rsidRPr="00947DDD">
              <w:t>– A small window of input pixels that field the hidden layer.</w:t>
            </w:r>
          </w:p>
        </w:tc>
        <w:tc>
          <w:tcPr>
            <w:tcW w:w="2394" w:type="dxa"/>
            <w:vAlign w:val="center"/>
          </w:tcPr>
          <w:p w:rsidR="00F610F1" w:rsidRPr="00947DDD" w:rsidRDefault="00F610F1" w:rsidP="00947DDD">
            <w:r w:rsidRPr="00947DDD">
              <w:rPr>
                <w:b/>
                <w:color w:val="0000FF"/>
                <w:szCs w:val="16"/>
              </w:rPr>
              <w:t>Feature Map</w:t>
            </w:r>
            <w:r w:rsidRPr="00947DDD">
              <w:t xml:space="preserve"> – Mapping from the input layer to the hidden layer.</w:t>
            </w:r>
          </w:p>
          <w:p w:rsidR="00F610F1" w:rsidRDefault="00F610F1" w:rsidP="003E7E4D">
            <w:pPr>
              <w:pStyle w:val="ListParagraph"/>
              <w:ind w:left="144" w:firstLine="0"/>
            </w:pPr>
          </w:p>
          <w:p w:rsidR="00F610F1" w:rsidRPr="00947DDD" w:rsidRDefault="00F610F1" w:rsidP="00947DDD">
            <w:r w:rsidRPr="00947DDD">
              <w:t>Multiple feature maps may be used to map from the input layer to multiple hidden layers.</w:t>
            </w:r>
          </w:p>
          <w:p w:rsidR="00947DDD" w:rsidRPr="00947DDD" w:rsidRDefault="00F610F1" w:rsidP="00947DDD">
            <w:pPr>
              <w:pStyle w:val="ListParagraph"/>
              <w:numPr>
                <w:ilvl w:val="0"/>
                <w:numId w:val="4"/>
              </w:numPr>
            </w:pPr>
            <w:r w:rsidRPr="00F610F1">
              <w:rPr>
                <w:b/>
                <w:color w:val="FF0000"/>
              </w:rPr>
              <w:t>Aaron’s example used three feature maps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F610F1" w:rsidRDefault="00947DDD" w:rsidP="003E7E4D">
            <w:r w:rsidRPr="00947DDD">
              <w:rPr>
                <w:b/>
                <w:color w:val="0000FF"/>
                <w:szCs w:val="16"/>
              </w:rPr>
              <w:t>Pooling Layer</w:t>
            </w:r>
            <w:r w:rsidR="00A2340B">
              <w:rPr>
                <w:b/>
                <w:color w:val="0000FF"/>
                <w:szCs w:val="16"/>
              </w:rPr>
              <w:t>(s)</w:t>
            </w:r>
            <w:r w:rsidRPr="00947DDD">
              <w:rPr>
                <w:b/>
                <w:color w:val="0000FF"/>
                <w:szCs w:val="16"/>
              </w:rPr>
              <w:t xml:space="preserve"> </w:t>
            </w:r>
            <w:r>
              <w:t>– Immediately after the convolutional layer.</w:t>
            </w:r>
            <w:r w:rsidR="00685B3B">
              <w:t xml:space="preserve">  </w:t>
            </w:r>
            <w:r w:rsidR="00685B3B" w:rsidRPr="006E0D9F">
              <w:rPr>
                <w:b/>
                <w:color w:val="FF0000"/>
              </w:rPr>
              <w:t>Takes the feature map from the convolutional layer and creates a condensed feature map</w:t>
            </w:r>
            <w:r w:rsidR="00685B3B">
              <w:t>.</w:t>
            </w:r>
          </w:p>
          <w:p w:rsidR="00353C58" w:rsidRDefault="00353C58" w:rsidP="003E7E4D"/>
          <w:p w:rsidR="00353C58" w:rsidRPr="00E03572" w:rsidRDefault="00353C58" w:rsidP="003E7E4D">
            <w:pPr>
              <w:rPr>
                <w:szCs w:val="16"/>
              </w:rPr>
            </w:pPr>
          </w:p>
        </w:tc>
      </w:tr>
    </w:tbl>
    <w:p w:rsidR="004A5D85" w:rsidRDefault="004A5D85" w:rsidP="004A5D8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E93368" w:rsidTr="003372F0">
        <w:trPr>
          <w:trHeight w:val="165"/>
          <w:jc w:val="center"/>
        </w:trPr>
        <w:tc>
          <w:tcPr>
            <w:tcW w:w="2808" w:type="dxa"/>
            <w:vMerge w:val="restart"/>
            <w:vAlign w:val="center"/>
          </w:tcPr>
          <w:p w:rsidR="00E93368" w:rsidRPr="0096448A" w:rsidRDefault="00E93368" w:rsidP="0096448A">
            <w:pPr>
              <w:rPr>
                <w:szCs w:val="16"/>
              </w:rPr>
            </w:pPr>
            <w:r w:rsidRPr="0096448A">
              <w:rPr>
                <w:b/>
                <w:color w:val="0000FF"/>
                <w:szCs w:val="16"/>
              </w:rPr>
              <w:t xml:space="preserve">Minsky and </w:t>
            </w:r>
            <w:proofErr w:type="spellStart"/>
            <w:r w:rsidRPr="0096448A">
              <w:rPr>
                <w:b/>
                <w:color w:val="0000FF"/>
                <w:szCs w:val="16"/>
              </w:rPr>
              <w:t>Papert</w:t>
            </w:r>
            <w:proofErr w:type="spellEnd"/>
            <w:r w:rsidRPr="0096448A">
              <w:rPr>
                <w:b/>
                <w:color w:val="0000FF"/>
                <w:szCs w:val="16"/>
              </w:rPr>
              <w:t xml:space="preserve"> </w:t>
            </w:r>
            <w:r w:rsidRPr="0096448A">
              <w:t>– Wrote that a standard perceptron could not correctly classify an XOR function</w:t>
            </w:r>
          </w:p>
          <w:p w:rsidR="0096448A" w:rsidRDefault="0096448A" w:rsidP="0096448A">
            <w:pPr>
              <w:rPr>
                <w:szCs w:val="16"/>
              </w:rPr>
            </w:pPr>
          </w:p>
          <w:p w:rsidR="0096448A" w:rsidRPr="0096448A" w:rsidRDefault="0096448A" w:rsidP="0096448A">
            <w:pPr>
              <w:rPr>
                <w:szCs w:val="16"/>
              </w:rPr>
            </w:pPr>
            <w:proofErr w:type="spellStart"/>
            <w:r w:rsidRPr="001125AD">
              <w:rPr>
                <w:b/>
                <w:color w:val="0000FF"/>
                <w:szCs w:val="16"/>
              </w:rPr>
              <w:t>Werbos</w:t>
            </w:r>
            <w:proofErr w:type="spellEnd"/>
            <w:r>
              <w:rPr>
                <w:szCs w:val="16"/>
              </w:rPr>
              <w:t xml:space="preserve"> – Back propagation calculations of a neural network is possible if the sigmoid function is differentiable.</w:t>
            </w:r>
          </w:p>
        </w:tc>
        <w:tc>
          <w:tcPr>
            <w:tcW w:w="3060" w:type="dxa"/>
            <w:vMerge w:val="restart"/>
            <w:vAlign w:val="center"/>
          </w:tcPr>
          <w:p w:rsidR="00E93368" w:rsidRPr="00947DDD" w:rsidRDefault="003D6365" w:rsidP="003E7E4D">
            <w:pPr>
              <w:rPr>
                <w:szCs w:val="16"/>
              </w:rPr>
            </w:pPr>
            <w:r w:rsidRPr="003D6365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Defines the mapping of the neuron’s input(s) to its output.</w:t>
            </w:r>
          </w:p>
        </w:tc>
        <w:tc>
          <w:tcPr>
            <w:tcW w:w="5148" w:type="dxa"/>
            <w:gridSpan w:val="2"/>
            <w:vAlign w:val="center"/>
          </w:tcPr>
          <w:p w:rsidR="00E93368" w:rsidRPr="00760E12" w:rsidRDefault="00760E12" w:rsidP="00760E12">
            <w:pPr>
              <w:jc w:val="center"/>
              <w:rPr>
                <w:b/>
                <w:szCs w:val="16"/>
              </w:rPr>
            </w:pPr>
            <w:r w:rsidRPr="00760E12">
              <w:rPr>
                <w:b/>
                <w:sz w:val="20"/>
                <w:szCs w:val="16"/>
              </w:rPr>
              <w:t>Activation Functions</w:t>
            </w:r>
          </w:p>
        </w:tc>
      </w:tr>
      <w:tr w:rsidR="00E93368" w:rsidTr="003E7E4D">
        <w:trPr>
          <w:trHeight w:val="164"/>
          <w:jc w:val="center"/>
        </w:trPr>
        <w:tc>
          <w:tcPr>
            <w:tcW w:w="2808" w:type="dxa"/>
            <w:vMerge/>
            <w:vAlign w:val="center"/>
          </w:tcPr>
          <w:p w:rsidR="00E93368" w:rsidRDefault="00E93368" w:rsidP="004A5D85">
            <w:pPr>
              <w:pStyle w:val="ListParagraph"/>
              <w:numPr>
                <w:ilvl w:val="0"/>
                <w:numId w:val="4"/>
              </w:numPr>
              <w:rPr>
                <w:b/>
                <w:color w:val="0000FF"/>
                <w:szCs w:val="16"/>
              </w:rPr>
            </w:pPr>
          </w:p>
        </w:tc>
        <w:tc>
          <w:tcPr>
            <w:tcW w:w="3060" w:type="dxa"/>
            <w:vMerge/>
            <w:vAlign w:val="center"/>
          </w:tcPr>
          <w:p w:rsidR="00E93368" w:rsidRPr="00947DDD" w:rsidRDefault="00E93368" w:rsidP="003E7E4D">
            <w:pPr>
              <w:rPr>
                <w:szCs w:val="16"/>
              </w:rPr>
            </w:pPr>
          </w:p>
        </w:tc>
        <w:tc>
          <w:tcPr>
            <w:tcW w:w="2394" w:type="dxa"/>
            <w:vAlign w:val="center"/>
          </w:tcPr>
          <w:p w:rsidR="00E93368" w:rsidRPr="00760E12" w:rsidRDefault="00E93368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Step Function</w:t>
            </w:r>
          </w:p>
          <w:p w:rsidR="00E93368" w:rsidRDefault="00E93368" w:rsidP="00E93368"/>
          <w:p w:rsidR="00E93368" w:rsidRPr="00E93368" w:rsidRDefault="00E93368" w:rsidP="00E9336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1,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x≤t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0,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x&lt;t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54" w:type="dxa"/>
            <w:vAlign w:val="center"/>
          </w:tcPr>
          <w:p w:rsidR="00760E12" w:rsidRPr="00760E12" w:rsidRDefault="00760E12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Sigmoid Function</w:t>
            </w:r>
          </w:p>
          <w:p w:rsidR="00760E12" w:rsidRDefault="00760E12" w:rsidP="003E7E4D">
            <w:pPr>
              <w:rPr>
                <w:szCs w:val="16"/>
              </w:rPr>
            </w:pPr>
          </w:p>
          <w:p w:rsidR="00760E12" w:rsidRPr="0096448A" w:rsidRDefault="00760E12" w:rsidP="00760E1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96448A" w:rsidRDefault="0096448A" w:rsidP="00760E12">
            <w:pPr>
              <w:rPr>
                <w:b/>
                <w:color w:val="7030A0"/>
                <w:sz w:val="20"/>
                <w:szCs w:val="16"/>
              </w:rPr>
            </w:pPr>
          </w:p>
          <w:p w:rsidR="0096448A" w:rsidRPr="00760E12" w:rsidRDefault="0096448A" w:rsidP="0096448A">
            <w:pPr>
              <w:rPr>
                <w:b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</w:tc>
      </w:tr>
    </w:tbl>
    <w:p w:rsidR="004A5D85" w:rsidRDefault="004A5D85" w:rsidP="004A5D85">
      <w:pPr>
        <w:rPr>
          <w:sz w:val="6"/>
          <w:szCs w:val="6"/>
        </w:rPr>
      </w:pPr>
    </w:p>
    <w:p w:rsidR="00A77CAF" w:rsidRDefault="00A77CAF" w:rsidP="00A77CAF">
      <w:pPr>
        <w:rPr>
          <w:sz w:val="6"/>
          <w:szCs w:val="6"/>
        </w:rPr>
      </w:pPr>
    </w:p>
    <w:p w:rsidR="00691FB3" w:rsidRPr="001E47A8" w:rsidRDefault="00691FB3" w:rsidP="00691FB3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Yan Zhu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Yelp Text Classification</w:t>
      </w:r>
    </w:p>
    <w:p w:rsidR="00691FB3" w:rsidRDefault="00691FB3" w:rsidP="00691FB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8"/>
        <w:gridCol w:w="5058"/>
      </w:tblGrid>
      <w:tr w:rsidR="0098090E" w:rsidTr="00E630C2">
        <w:trPr>
          <w:jc w:val="center"/>
        </w:trPr>
        <w:tc>
          <w:tcPr>
            <w:tcW w:w="5958" w:type="dxa"/>
            <w:vAlign w:val="center"/>
          </w:tcPr>
          <w:p w:rsidR="0098090E" w:rsidRPr="00A879E2" w:rsidRDefault="0098090E" w:rsidP="00A879E2">
            <w:pPr>
              <w:jc w:val="center"/>
              <w:rPr>
                <w:b/>
                <w:sz w:val="20"/>
              </w:rPr>
            </w:pPr>
            <w:r w:rsidRPr="00A879E2">
              <w:rPr>
                <w:b/>
                <w:sz w:val="20"/>
              </w:rPr>
              <w:t>Text Preprocessing</w:t>
            </w:r>
          </w:p>
          <w:p w:rsidR="0098090E" w:rsidRPr="00F610F1" w:rsidRDefault="0098090E" w:rsidP="007D5384">
            <w:pPr>
              <w:rPr>
                <w:szCs w:val="16"/>
              </w:rPr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Stop-word removal</w:t>
            </w:r>
            <w:r w:rsidRPr="007D5384">
              <w:t xml:space="preserve"> – Elimination of frequently used words (e.g. conjunctions, prepositions, etc.) that are not useful for text classification.</w:t>
            </w:r>
          </w:p>
          <w:p w:rsidR="0098090E" w:rsidRPr="000807BD" w:rsidRDefault="0098090E" w:rsidP="000807BD">
            <w:pPr>
              <w:pStyle w:val="ListParagraph"/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Stemming</w:t>
            </w:r>
            <w:r w:rsidRPr="007D5384">
              <w:t xml:space="preserve"> – Process of simplifying words to their word “stem”, “root” or “base”.  </w:t>
            </w:r>
          </w:p>
          <w:p w:rsidR="0098090E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CB0CC9">
              <w:rPr>
                <w:b/>
                <w:color w:val="E36C0A" w:themeColor="accent6" w:themeShade="BF"/>
                <w:szCs w:val="16"/>
              </w:rPr>
              <w:t>Example:</w:t>
            </w:r>
            <w:r>
              <w:t xml:space="preserve"> “Fishing” “fished” to “fish”</w:t>
            </w:r>
          </w:p>
          <w:p w:rsidR="0098090E" w:rsidRPr="007D5384" w:rsidRDefault="0098090E" w:rsidP="007D5384">
            <w:pPr>
              <w:ind w:left="216"/>
            </w:pPr>
          </w:p>
          <w:p w:rsidR="0098090E" w:rsidRPr="007D5384" w:rsidRDefault="0098090E" w:rsidP="007D5384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Word Scoring</w:t>
            </w:r>
            <w:r w:rsidRPr="00947DDD">
              <w:rPr>
                <w:szCs w:val="16"/>
              </w:rPr>
              <w:t xml:space="preserve"> – </w:t>
            </w:r>
            <w:r>
              <w:rPr>
                <w:szCs w:val="16"/>
              </w:rPr>
              <w:t>Assign each word in the corpus a score of “1” if it is a positive word and “-1” if it is a negative word.  This can give you a</w:t>
            </w:r>
            <w:r>
              <w:rPr>
                <w:szCs w:val="16"/>
              </w:rPr>
              <w:t xml:space="preserve"> quantified score for a review.</w:t>
            </w:r>
          </w:p>
        </w:tc>
        <w:tc>
          <w:tcPr>
            <w:tcW w:w="5058" w:type="dxa"/>
            <w:vAlign w:val="center"/>
          </w:tcPr>
          <w:p w:rsidR="0098090E" w:rsidRDefault="0098090E" w:rsidP="00B13587">
            <w:pPr>
              <w:rPr>
                <w:szCs w:val="16"/>
              </w:rPr>
            </w:pPr>
          </w:p>
          <w:p w:rsidR="0098090E" w:rsidRDefault="0098090E" w:rsidP="007D5384">
            <w:r w:rsidRPr="007D5384">
              <w:rPr>
                <w:b/>
                <w:color w:val="0000FF"/>
                <w:szCs w:val="16"/>
              </w:rPr>
              <w:t xml:space="preserve">N-gram </w:t>
            </w:r>
            <w:r w:rsidRPr="007D5384">
              <w:t xml:space="preserve">– Continuous sequence of </w:t>
            </w:r>
            <w:r w:rsidRPr="007D5384">
              <w:rPr>
                <w:i/>
              </w:rPr>
              <w:t>n</w:t>
            </w:r>
            <w:r w:rsidRPr="007D5384">
              <w:t xml:space="preserve"> items from a document</w:t>
            </w:r>
          </w:p>
          <w:p w:rsidR="0098090E" w:rsidRDefault="0098090E" w:rsidP="007D5384"/>
          <w:p w:rsidR="0098090E" w:rsidRPr="007D5384" w:rsidRDefault="0098090E" w:rsidP="007D5384">
            <w:pPr>
              <w:rPr>
                <w:b/>
                <w:color w:val="0000FF"/>
                <w:szCs w:val="16"/>
              </w:rPr>
            </w:pPr>
            <w:r w:rsidRPr="007D5384">
              <w:rPr>
                <w:b/>
                <w:color w:val="0000FF"/>
                <w:szCs w:val="16"/>
              </w:rPr>
              <w:t>Benefits of N-Grams:</w:t>
            </w:r>
          </w:p>
          <w:p w:rsidR="0098090E" w:rsidRPr="00E33413" w:rsidRDefault="0098090E" w:rsidP="007D5384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  <w:szCs w:val="16"/>
              </w:rPr>
              <w:t>Encode not just keywords but also word ordering.</w:t>
            </w:r>
          </w:p>
          <w:p w:rsidR="0098090E" w:rsidRPr="00E33413" w:rsidRDefault="0098090E" w:rsidP="00E33413"/>
          <w:p w:rsidR="0098090E" w:rsidRPr="00604CFD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7D5384">
              <w:rPr>
                <w:b/>
                <w:color w:val="E36C0A" w:themeColor="accent6" w:themeShade="BF"/>
                <w:szCs w:val="16"/>
              </w:rPr>
              <w:t>Can detect “double negatives” to equal positives</w:t>
            </w:r>
          </w:p>
          <w:p w:rsidR="0098090E" w:rsidRPr="00E03572" w:rsidRDefault="0098090E" w:rsidP="003E7E4D">
            <w:pPr>
              <w:rPr>
                <w:szCs w:val="16"/>
              </w:rPr>
            </w:pPr>
            <w:r>
              <w:t>Example: “not bad” is positive</w:t>
            </w:r>
          </w:p>
        </w:tc>
      </w:tr>
    </w:tbl>
    <w:p w:rsidR="00691FB3" w:rsidRDefault="00691FB3" w:rsidP="00691FB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B67D59" w:rsidRPr="001E47A8" w:rsidRDefault="00B67D59" w:rsidP="00B67D59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Mansi Modi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Titanic</w:t>
      </w:r>
      <w:r w:rsidR="000F646D">
        <w:rPr>
          <w:b/>
          <w:sz w:val="24"/>
          <w:szCs w:val="6"/>
        </w:rPr>
        <w:t xml:space="preserve"> – Random Forests</w:t>
      </w:r>
    </w:p>
    <w:p w:rsidR="00B67D59" w:rsidRDefault="00B67D59" w:rsidP="00B67D5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B67D59" w:rsidTr="003E7E4D">
        <w:trPr>
          <w:jc w:val="center"/>
        </w:trPr>
        <w:tc>
          <w:tcPr>
            <w:tcW w:w="2808" w:type="dxa"/>
            <w:vAlign w:val="center"/>
          </w:tcPr>
          <w:p w:rsidR="00B67D59" w:rsidRPr="0028587C" w:rsidRDefault="00A1273A" w:rsidP="000F646D">
            <w:r>
              <w:rPr>
                <w:b/>
                <w:color w:val="0000FF"/>
                <w:szCs w:val="16"/>
              </w:rPr>
              <w:t>Random Forests</w:t>
            </w:r>
            <w:r w:rsidR="00B67D59" w:rsidRPr="007D5384">
              <w:t xml:space="preserve"> </w:t>
            </w:r>
            <w:r w:rsidR="000F646D">
              <w:t>c</w:t>
            </w:r>
            <w:r w:rsidR="009B152E">
              <w:t>onstructs the multiple decision trees and selects the mode or mean as the classification value.</w:t>
            </w:r>
          </w:p>
        </w:tc>
        <w:tc>
          <w:tcPr>
            <w:tcW w:w="3060" w:type="dxa"/>
            <w:vAlign w:val="center"/>
          </w:tcPr>
          <w:p w:rsidR="00B67D59" w:rsidRPr="00947DDD" w:rsidRDefault="000073B5" w:rsidP="003E7E4D">
            <w:pPr>
              <w:rPr>
                <w:szCs w:val="16"/>
              </w:rPr>
            </w:pPr>
            <w:r w:rsidRPr="00597D73">
              <w:rPr>
                <w:b/>
                <w:color w:val="0000FF"/>
                <w:szCs w:val="16"/>
              </w:rPr>
              <w:t>Random Forests</w:t>
            </w:r>
            <w:r>
              <w:rPr>
                <w:szCs w:val="16"/>
              </w:rPr>
              <w:t xml:space="preserve"> – A bagging technique.  Each split uses randomized features and un-pruned decision trees.</w:t>
            </w:r>
          </w:p>
        </w:tc>
        <w:tc>
          <w:tcPr>
            <w:tcW w:w="2394" w:type="dxa"/>
            <w:vAlign w:val="center"/>
          </w:tcPr>
          <w:p w:rsidR="00B67D59" w:rsidRPr="00A1273A" w:rsidRDefault="006D6C9C" w:rsidP="00A1273A">
            <w:r>
              <w:t>“A group of weak learners come together to form a strong learner”</w:t>
            </w:r>
          </w:p>
        </w:tc>
        <w:tc>
          <w:tcPr>
            <w:tcW w:w="2754" w:type="dxa"/>
            <w:vAlign w:val="center"/>
          </w:tcPr>
          <w:p w:rsidR="00B67D59" w:rsidRPr="00E03572" w:rsidRDefault="00B67D59" w:rsidP="003E7E4D">
            <w:pPr>
              <w:rPr>
                <w:szCs w:val="16"/>
              </w:rPr>
            </w:pPr>
          </w:p>
        </w:tc>
      </w:tr>
    </w:tbl>
    <w:p w:rsidR="00B67D59" w:rsidRDefault="00B67D59" w:rsidP="00B67D59">
      <w:pPr>
        <w:rPr>
          <w:sz w:val="6"/>
          <w:szCs w:val="6"/>
        </w:rPr>
      </w:pPr>
    </w:p>
    <w:p w:rsidR="006C37A6" w:rsidRPr="001E47A8" w:rsidRDefault="006C37A6" w:rsidP="006C37A6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Maria </w:t>
      </w:r>
      <w:proofErr w:type="spellStart"/>
      <w:r>
        <w:rPr>
          <w:b/>
          <w:sz w:val="24"/>
          <w:szCs w:val="6"/>
        </w:rPr>
        <w:t>Nazari</w:t>
      </w:r>
      <w:proofErr w:type="spellEnd"/>
      <w:r>
        <w:rPr>
          <w:b/>
          <w:sz w:val="24"/>
          <w:szCs w:val="6"/>
        </w:rPr>
        <w:t xml:space="preserve"> – Titanic</w:t>
      </w:r>
    </w:p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6C37A6" w:rsidTr="003E7E4D">
        <w:trPr>
          <w:jc w:val="center"/>
        </w:trPr>
        <w:tc>
          <w:tcPr>
            <w:tcW w:w="2808" w:type="dxa"/>
            <w:vAlign w:val="center"/>
          </w:tcPr>
          <w:p w:rsidR="006C37A6" w:rsidRDefault="00EB7A12" w:rsidP="00EB7A12">
            <w:r>
              <w:rPr>
                <w:b/>
                <w:color w:val="0000FF"/>
                <w:szCs w:val="16"/>
              </w:rPr>
              <w:t>KNN</w:t>
            </w:r>
          </w:p>
          <w:p w:rsidR="00EB7A12" w:rsidRDefault="00EB7A12" w:rsidP="00EB7A12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Small</w:t>
            </w:r>
            <w:r w:rsidRPr="00D651C7">
              <w:rPr>
                <w:color w:val="E36C0A" w:themeColor="accent6" w:themeShade="BF"/>
              </w:rPr>
              <w:t xml:space="preserve"> </w:t>
            </w:r>
            <w:r>
              <w:t>– Overfitting</w:t>
            </w:r>
          </w:p>
          <w:p w:rsidR="00A369D3" w:rsidRPr="00F57192" w:rsidRDefault="00EB7A12" w:rsidP="00A369D3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Large</w:t>
            </w:r>
            <w:r>
              <w:rPr>
                <w:b/>
              </w:rPr>
              <w:t xml:space="preserve"> </w:t>
            </w:r>
            <w:r>
              <w:t xml:space="preserve">– </w:t>
            </w:r>
            <w:proofErr w:type="spellStart"/>
            <w:r>
              <w:t>Underfitting</w:t>
            </w:r>
            <w:proofErr w:type="spellEnd"/>
          </w:p>
        </w:tc>
        <w:tc>
          <w:tcPr>
            <w:tcW w:w="3060" w:type="dxa"/>
            <w:vAlign w:val="center"/>
          </w:tcPr>
          <w:p w:rsidR="006C37A6" w:rsidRDefault="00F57192" w:rsidP="003E7E4D">
            <w:r w:rsidRPr="00A456AF">
              <w:rPr>
                <w:b/>
                <w:color w:val="0000FF"/>
                <w:szCs w:val="16"/>
              </w:rPr>
              <w:t>Weighted KNN</w:t>
            </w:r>
            <w:r>
              <w:t xml:space="preserve"> – Assign neighbors a weight </w:t>
            </w:r>
            <w:r>
              <w:t xml:space="preserve">(usually </w:t>
            </w:r>
            <w:r>
              <w:t>based off their similarity to/distance from the unseen record</w:t>
            </w:r>
            <w:r>
              <w:t>)</w:t>
            </w:r>
            <w:r>
              <w:t>.</w:t>
            </w:r>
          </w:p>
          <w:p w:rsid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Different methods can be used for assigning weights.  </w:t>
            </w:r>
          </w:p>
          <w:p w:rsidR="00F57192" w:rsidRP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May not use a fixed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>.</w:t>
            </w:r>
          </w:p>
        </w:tc>
        <w:tc>
          <w:tcPr>
            <w:tcW w:w="2394" w:type="dxa"/>
            <w:vAlign w:val="center"/>
          </w:tcPr>
          <w:p w:rsidR="006C37A6" w:rsidRPr="00A1273A" w:rsidRDefault="006C37A6" w:rsidP="003E7E4D"/>
        </w:tc>
        <w:tc>
          <w:tcPr>
            <w:tcW w:w="2754" w:type="dxa"/>
            <w:vAlign w:val="center"/>
          </w:tcPr>
          <w:p w:rsidR="006C37A6" w:rsidRPr="00E03572" w:rsidRDefault="00A456AF" w:rsidP="003E7E4D">
            <w:pPr>
              <w:rPr>
                <w:szCs w:val="16"/>
              </w:rPr>
            </w:pPr>
            <w:r w:rsidRPr="00666D08">
              <w:rPr>
                <w:b/>
                <w:color w:val="0000FF"/>
                <w:szCs w:val="16"/>
              </w:rPr>
              <w:t>Confusion Matrix</w:t>
            </w:r>
            <w:r>
              <w:rPr>
                <w:szCs w:val="16"/>
              </w:rPr>
              <w:t xml:space="preserve"> – Useful for visualizing the types of misclassifications.  May provide weaknesses into the insights of the algorithms.</w:t>
            </w:r>
          </w:p>
        </w:tc>
      </w:tr>
    </w:tbl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63524" w:rsidRPr="00C63524" w:rsidTr="00C63524"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>Robust to Outliers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 xml:space="preserve">Effect of </w:t>
            </w:r>
            <w:r w:rsidR="00C63524" w:rsidRPr="00C63524">
              <w:rPr>
                <w:b/>
                <w:color w:val="FFFFFF" w:themeColor="background1"/>
                <w:szCs w:val="16"/>
              </w:rPr>
              <w:t xml:space="preserve">a </w:t>
            </w:r>
            <w:r w:rsidRPr="00C63524">
              <w:rPr>
                <w:b/>
                <w:color w:val="FFFFFF" w:themeColor="background1"/>
                <w:szCs w:val="16"/>
              </w:rPr>
              <w:t>Large Training Dataset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C63524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Performance for a Sample Training 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A84AB5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Overfitting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KNN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Training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Depends on the Tree Specifications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Random Forests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value of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Classification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</w:tbl>
    <w:p w:rsidR="00B67D59" w:rsidRDefault="00B67D59" w:rsidP="009B7253">
      <w:pPr>
        <w:rPr>
          <w:sz w:val="6"/>
          <w:szCs w:val="6"/>
        </w:rPr>
      </w:pPr>
    </w:p>
    <w:p w:rsidR="00B1171B" w:rsidRDefault="00B1171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1171B" w:rsidRPr="001E47A8" w:rsidRDefault="00B1171B" w:rsidP="00B1171B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lastRenderedPageBreak/>
        <w:t>Geetika</w:t>
      </w:r>
      <w:proofErr w:type="spellEnd"/>
      <w:r>
        <w:rPr>
          <w:b/>
          <w:sz w:val="24"/>
          <w:szCs w:val="6"/>
        </w:rPr>
        <w:t xml:space="preserve"> Garg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Walmart</w:t>
      </w:r>
    </w:p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B1171B" w:rsidTr="003E7E4D">
        <w:trPr>
          <w:jc w:val="center"/>
        </w:trPr>
        <w:tc>
          <w:tcPr>
            <w:tcW w:w="2808" w:type="dxa"/>
            <w:vAlign w:val="center"/>
          </w:tcPr>
          <w:p w:rsidR="00B1171B" w:rsidRDefault="00A60EE2" w:rsidP="003E7E4D">
            <w:r>
              <w:rPr>
                <w:b/>
                <w:color w:val="0000FF"/>
                <w:szCs w:val="16"/>
              </w:rPr>
              <w:t>Cross Entropy</w:t>
            </w:r>
          </w:p>
          <w:p w:rsidR="00B1171B" w:rsidRDefault="00B1171B" w:rsidP="00A60EE2"/>
          <w:p w:rsidR="00A60EE2" w:rsidRPr="0031248C" w:rsidRDefault="00A60EE2" w:rsidP="00A60E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  <w:p w:rsidR="0031248C" w:rsidRDefault="0031248C" w:rsidP="00A60EE2"/>
          <w:p w:rsidR="0098090E" w:rsidRDefault="0098090E" w:rsidP="0031248C">
            <w:pPr>
              <w:pStyle w:val="ListParagraph"/>
              <w:numPr>
                <w:ilvl w:val="0"/>
                <w:numId w:val="4"/>
              </w:numPr>
            </w:pPr>
          </w:p>
          <w:p w:rsidR="0031248C" w:rsidRDefault="0031248C" w:rsidP="0031248C">
            <w:pPr>
              <w:pStyle w:val="ListParagraph"/>
              <w:numPr>
                <w:ilvl w:val="0"/>
                <w:numId w:val="4"/>
              </w:numPr>
            </w:pPr>
            <w:r>
              <w:t>Quantifies the difference between the actual distribution and what the network believes it should be.</w:t>
            </w:r>
          </w:p>
          <w:p w:rsidR="00437A83" w:rsidRPr="0031248C" w:rsidRDefault="00437A83" w:rsidP="0031248C">
            <w:pPr>
              <w:pStyle w:val="ListParagraph"/>
              <w:numPr>
                <w:ilvl w:val="0"/>
                <w:numId w:val="4"/>
              </w:numPr>
            </w:pPr>
            <w:r>
              <w:t>Heavily penalizes incorrect predictions.</w:t>
            </w:r>
          </w:p>
        </w:tc>
        <w:tc>
          <w:tcPr>
            <w:tcW w:w="3060" w:type="dxa"/>
            <w:vAlign w:val="center"/>
          </w:tcPr>
          <w:p w:rsidR="00B1171B" w:rsidRDefault="00B1171B" w:rsidP="003E7E4D">
            <w:r w:rsidRPr="00A456AF">
              <w:rPr>
                <w:b/>
                <w:color w:val="0000FF"/>
                <w:szCs w:val="16"/>
              </w:rPr>
              <w:t>Weighted KNN</w:t>
            </w:r>
            <w:r>
              <w:t xml:space="preserve"> – Assign neighbors a weight (usually based off their similarity to/distance from the unseen record).</w:t>
            </w:r>
          </w:p>
          <w:p w:rsidR="00B1171B" w:rsidRDefault="00B1171B" w:rsidP="003E7E4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Different methods can be used for assigning weights.  </w:t>
            </w:r>
          </w:p>
          <w:p w:rsidR="00B1171B" w:rsidRPr="00F57192" w:rsidRDefault="00B1171B" w:rsidP="003E7E4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May not use a fixed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>.</w:t>
            </w:r>
          </w:p>
        </w:tc>
        <w:tc>
          <w:tcPr>
            <w:tcW w:w="2394" w:type="dxa"/>
            <w:vAlign w:val="center"/>
          </w:tcPr>
          <w:p w:rsidR="00B1171B" w:rsidRPr="00A1273A" w:rsidRDefault="00B1171B" w:rsidP="003E7E4D"/>
        </w:tc>
        <w:tc>
          <w:tcPr>
            <w:tcW w:w="2754" w:type="dxa"/>
            <w:vAlign w:val="center"/>
          </w:tcPr>
          <w:p w:rsidR="00B1171B" w:rsidRPr="00E03572" w:rsidRDefault="00B1171B" w:rsidP="003E7E4D">
            <w:pPr>
              <w:rPr>
                <w:szCs w:val="16"/>
              </w:rPr>
            </w:pPr>
            <w:bookmarkStart w:id="0" w:name="_GoBack"/>
            <w:bookmarkEnd w:id="0"/>
          </w:p>
        </w:tc>
      </w:tr>
    </w:tbl>
    <w:p w:rsidR="00B1171B" w:rsidRDefault="00B1171B" w:rsidP="00B1171B">
      <w:pPr>
        <w:rPr>
          <w:sz w:val="6"/>
          <w:szCs w:val="6"/>
        </w:rPr>
      </w:pPr>
    </w:p>
    <w:p w:rsidR="00060C4A" w:rsidRPr="001E47A8" w:rsidRDefault="00060C4A" w:rsidP="00060C4A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t>Huaxin</w:t>
      </w:r>
      <w:proofErr w:type="spellEnd"/>
      <w:r>
        <w:rPr>
          <w:b/>
          <w:sz w:val="24"/>
          <w:szCs w:val="6"/>
        </w:rPr>
        <w:t xml:space="preserve"> Pang and Zayd Hammoudeh</w:t>
      </w:r>
      <w:r>
        <w:rPr>
          <w:b/>
          <w:sz w:val="24"/>
          <w:szCs w:val="6"/>
        </w:rPr>
        <w:t xml:space="preserve"> – Walmart</w:t>
      </w:r>
    </w:p>
    <w:p w:rsidR="00060C4A" w:rsidRDefault="00060C4A" w:rsidP="00060C4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690"/>
        <w:gridCol w:w="1980"/>
        <w:gridCol w:w="3618"/>
      </w:tblGrid>
      <w:tr w:rsidR="00060C4A" w:rsidTr="00F6649C">
        <w:trPr>
          <w:jc w:val="center"/>
        </w:trPr>
        <w:tc>
          <w:tcPr>
            <w:tcW w:w="1728" w:type="dxa"/>
            <w:vAlign w:val="center"/>
          </w:tcPr>
          <w:p w:rsidR="00FF0077" w:rsidRPr="00FF0077" w:rsidRDefault="00FF0077" w:rsidP="00FF0077">
            <w:r w:rsidRPr="00051C94">
              <w:rPr>
                <w:b/>
                <w:color w:val="0000FF"/>
                <w:szCs w:val="16"/>
              </w:rPr>
              <w:t>Stochastic Gradient Descent</w:t>
            </w:r>
            <w:r>
              <w:t xml:space="preserve"> – Binary classifier so for multiclass problems it must use the “one-versus-all” approach.</w:t>
            </w:r>
          </w:p>
        </w:tc>
        <w:tc>
          <w:tcPr>
            <w:tcW w:w="3690" w:type="dxa"/>
            <w:vAlign w:val="center"/>
          </w:tcPr>
          <w:p w:rsidR="00060C4A" w:rsidRDefault="00051C94" w:rsidP="00051C94">
            <w:pPr>
              <w:rPr>
                <w:szCs w:val="16"/>
              </w:rPr>
            </w:pPr>
            <w:r w:rsidRPr="009D0DF6">
              <w:rPr>
                <w:b/>
                <w:color w:val="0000FF"/>
                <w:szCs w:val="16"/>
              </w:rPr>
              <w:t>Bernoulli Naïve Bayes</w:t>
            </w:r>
            <w:r>
              <w:rPr>
                <w:szCs w:val="16"/>
              </w:rPr>
              <w:t xml:space="preserve"> – Requires binary or </w:t>
            </w:r>
            <w:proofErr w:type="spellStart"/>
            <w:r>
              <w:rPr>
                <w:szCs w:val="16"/>
              </w:rPr>
              <w:t>binarized</w:t>
            </w:r>
            <w:proofErr w:type="spellEnd"/>
            <w:r>
              <w:rPr>
                <w:szCs w:val="16"/>
              </w:rPr>
              <w:t xml:space="preserve"> attributes. Penalizes for the non-</w:t>
            </w:r>
            <w:r w:rsidR="009D0DF6">
              <w:rPr>
                <w:szCs w:val="16"/>
              </w:rPr>
              <w:t>occurrence</w:t>
            </w:r>
            <w:r>
              <w:rPr>
                <w:szCs w:val="16"/>
              </w:rPr>
              <w:t xml:space="preserve"> of the class.</w:t>
            </w:r>
          </w:p>
          <w:p w:rsidR="00527A14" w:rsidRDefault="00527A14" w:rsidP="00051C94">
            <w:pPr>
              <w:rPr>
                <w:szCs w:val="16"/>
              </w:rPr>
            </w:pPr>
          </w:p>
          <w:p w:rsidR="00527A14" w:rsidRDefault="00527A14" w:rsidP="00051C94">
            <w:pPr>
              <w:rPr>
                <w:szCs w:val="16"/>
              </w:rPr>
            </w:pPr>
            <w:r w:rsidRPr="003F1F41">
              <w:rPr>
                <w:b/>
                <w:color w:val="0000FF"/>
                <w:szCs w:val="16"/>
              </w:rPr>
              <w:t>Multinomial Naïve Bayes</w:t>
            </w:r>
            <w:r>
              <w:rPr>
                <w:szCs w:val="16"/>
              </w:rPr>
              <w:t xml:space="preserve"> – Approach learned in class.</w:t>
            </w:r>
          </w:p>
          <w:p w:rsidR="00F6649C" w:rsidRDefault="00F6649C" w:rsidP="00051C94">
            <w:pPr>
              <w:rPr>
                <w:szCs w:val="16"/>
              </w:rPr>
            </w:pPr>
          </w:p>
          <w:p w:rsidR="00F6649C" w:rsidRPr="00077A44" w:rsidRDefault="00F6649C" w:rsidP="00F6649C">
            <w:pPr>
              <w:rPr>
                <w:b/>
                <w:color w:val="0000FF"/>
                <w:szCs w:val="16"/>
              </w:rPr>
            </w:pPr>
            <w:r w:rsidRPr="00077A44">
              <w:rPr>
                <w:b/>
                <w:color w:val="0000FF"/>
                <w:szCs w:val="16"/>
              </w:rPr>
              <w:t>Probability for Naïve Bayes</w:t>
            </w:r>
          </w:p>
          <w:p w:rsidR="00F6649C" w:rsidRDefault="00F6649C" w:rsidP="00F6649C"/>
          <w:p w:rsidR="00F6649C" w:rsidRPr="00077A44" w:rsidRDefault="00F6649C" w:rsidP="00F664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+α⋅k</m:t>
                    </m:r>
                  </m:den>
                </m:f>
              </m:oMath>
            </m:oMathPara>
          </w:p>
          <w:p w:rsidR="00F6649C" w:rsidRDefault="00F6649C" w:rsidP="00F6649C"/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Smoothing factor.</w:t>
            </w:r>
          </w:p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Number of records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</w:t>
            </w:r>
          </w:p>
          <w:p w:rsidR="00F6649C" w:rsidRPr="00051C94" w:rsidRDefault="00F6649C" w:rsidP="00F6649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Number of attributes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with attribute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80" w:type="dxa"/>
            <w:vAlign w:val="center"/>
          </w:tcPr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Tokenization</w:t>
            </w:r>
            <w:r>
              <w:rPr>
                <w:szCs w:val="16"/>
              </w:rPr>
              <w:t xml:space="preserve"> – Divide a series of characters into words (tokens) and remove any unimportant or unwanted characters (e.g. punctuation).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Lemmatization</w:t>
            </w:r>
            <w:r>
              <w:rPr>
                <w:szCs w:val="16"/>
              </w:rPr>
              <w:t xml:space="preserve"> – Extract the “lemma” (base or dictionary) form of the word.</w:t>
            </w:r>
          </w:p>
          <w:p w:rsidR="003F1F41" w:rsidRPr="00F6649C" w:rsidRDefault="003F1F41" w:rsidP="00F6649C"/>
        </w:tc>
        <w:tc>
          <w:tcPr>
            <w:tcW w:w="3618" w:type="dxa"/>
            <w:vAlign w:val="center"/>
          </w:tcPr>
          <w:p w:rsidR="00704CE5" w:rsidRDefault="00704CE5" w:rsidP="00704CE5">
            <w:pPr>
              <w:rPr>
                <w:szCs w:val="16"/>
              </w:rPr>
            </w:pPr>
          </w:p>
          <w:p w:rsidR="00704CE5" w:rsidRDefault="00704CE5" w:rsidP="00704CE5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 xml:space="preserve">Term Frequency-Inverse Document Frequency </w:t>
            </w:r>
            <w:r w:rsidR="00511826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511826">
              <w:rPr>
                <w:szCs w:val="16"/>
              </w:rPr>
              <w:t>A weight used for information retrieval and data mining.</w:t>
            </w:r>
          </w:p>
          <w:p w:rsidR="00F6649C" w:rsidRDefault="00F6649C" w:rsidP="00704CE5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#Times t in Document 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#Words in Document</m:t>
                    </m:r>
                  </m:den>
                </m:f>
              </m:oMath>
            </m:oMathPara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>
              <w:rPr>
                <w:szCs w:val="16"/>
              </w:rPr>
              <w:t>Divide by number of words in document to normalize for long documents.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IDF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of Documents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Document with word 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9E20B5" w:rsidRDefault="009E20B5" w:rsidP="00F6649C">
            <w:pPr>
              <w:rPr>
                <w:szCs w:val="16"/>
              </w:rPr>
            </w:pPr>
          </w:p>
          <w:p w:rsidR="00D4328D" w:rsidRDefault="00D4328D" w:rsidP="00F6649C">
            <w:pPr>
              <w:rPr>
                <w:szCs w:val="16"/>
              </w:rPr>
            </w:pPr>
          </w:p>
          <w:p w:rsidR="009E20B5" w:rsidRPr="00C26C8E" w:rsidRDefault="00C26C8E" w:rsidP="009E20B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TFIDF=TF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⋅IDF(t)</m:t>
                </m:r>
              </m:oMath>
            </m:oMathPara>
          </w:p>
        </w:tc>
      </w:tr>
    </w:tbl>
    <w:p w:rsidR="00060C4A" w:rsidRDefault="00060C4A" w:rsidP="00060C4A">
      <w:pPr>
        <w:rPr>
          <w:sz w:val="6"/>
          <w:szCs w:val="6"/>
        </w:rPr>
      </w:pPr>
    </w:p>
    <w:p w:rsidR="00B1171B" w:rsidRDefault="00B1171B" w:rsidP="009B7253">
      <w:pPr>
        <w:rPr>
          <w:sz w:val="6"/>
          <w:szCs w:val="6"/>
        </w:rPr>
      </w:pPr>
    </w:p>
    <w:sectPr w:rsidR="00B1171B" w:rsidSect="00C6352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2E" w:rsidRDefault="004E7F2E" w:rsidP="00664A47">
      <w:r>
        <w:separator/>
      </w:r>
    </w:p>
  </w:endnote>
  <w:endnote w:type="continuationSeparator" w:id="0">
    <w:p w:rsidR="004E7F2E" w:rsidRDefault="004E7F2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C" w:rsidRDefault="002D751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090E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2E" w:rsidRDefault="004E7F2E" w:rsidP="00664A47">
      <w:r>
        <w:separator/>
      </w:r>
    </w:p>
  </w:footnote>
  <w:footnote w:type="continuationSeparator" w:id="0">
    <w:p w:rsidR="004E7F2E" w:rsidRDefault="004E7F2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3B5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0D29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C94"/>
    <w:rsid w:val="00051D6E"/>
    <w:rsid w:val="00052871"/>
    <w:rsid w:val="00052BCB"/>
    <w:rsid w:val="00053664"/>
    <w:rsid w:val="000544CD"/>
    <w:rsid w:val="00055437"/>
    <w:rsid w:val="0005568E"/>
    <w:rsid w:val="00055CAA"/>
    <w:rsid w:val="000573FE"/>
    <w:rsid w:val="00057940"/>
    <w:rsid w:val="00057BC3"/>
    <w:rsid w:val="00057BD8"/>
    <w:rsid w:val="00060C4A"/>
    <w:rsid w:val="00060C6E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77A44"/>
    <w:rsid w:val="000806CF"/>
    <w:rsid w:val="000807BD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646D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5AD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44BD"/>
    <w:rsid w:val="0013581D"/>
    <w:rsid w:val="00135D33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3E0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00F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87C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1C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248C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8F6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385"/>
    <w:rsid w:val="0034751B"/>
    <w:rsid w:val="003475B5"/>
    <w:rsid w:val="00347BEF"/>
    <w:rsid w:val="0035030E"/>
    <w:rsid w:val="0035195F"/>
    <w:rsid w:val="00351AB6"/>
    <w:rsid w:val="003532EB"/>
    <w:rsid w:val="003533BE"/>
    <w:rsid w:val="00353BCD"/>
    <w:rsid w:val="00353C58"/>
    <w:rsid w:val="003549D5"/>
    <w:rsid w:val="00355EA0"/>
    <w:rsid w:val="0035628F"/>
    <w:rsid w:val="003570FE"/>
    <w:rsid w:val="0035774B"/>
    <w:rsid w:val="003609A0"/>
    <w:rsid w:val="00360F06"/>
    <w:rsid w:val="00361A4F"/>
    <w:rsid w:val="0036229B"/>
    <w:rsid w:val="0036276D"/>
    <w:rsid w:val="0036341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2A44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C77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365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41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A83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58FF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74DE"/>
    <w:rsid w:val="00467655"/>
    <w:rsid w:val="00470935"/>
    <w:rsid w:val="0047098B"/>
    <w:rsid w:val="0047185A"/>
    <w:rsid w:val="00471BF6"/>
    <w:rsid w:val="00472909"/>
    <w:rsid w:val="004733C5"/>
    <w:rsid w:val="004749DF"/>
    <w:rsid w:val="0047506E"/>
    <w:rsid w:val="00475E85"/>
    <w:rsid w:val="00476022"/>
    <w:rsid w:val="0047696B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6E23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5D85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E7F2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182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A14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48DE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5B3A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B8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8A2"/>
    <w:rsid w:val="00597B0D"/>
    <w:rsid w:val="00597D73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4CFD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08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3B"/>
    <w:rsid w:val="00685BC7"/>
    <w:rsid w:val="006864E3"/>
    <w:rsid w:val="0068686C"/>
    <w:rsid w:val="00687FA4"/>
    <w:rsid w:val="00687FEA"/>
    <w:rsid w:val="00690326"/>
    <w:rsid w:val="00690819"/>
    <w:rsid w:val="00690900"/>
    <w:rsid w:val="00691FB3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7A6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D6C9C"/>
    <w:rsid w:val="006E00D5"/>
    <w:rsid w:val="006E0966"/>
    <w:rsid w:val="006E0D9F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CE5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3F4A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69D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0E12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384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0D3F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119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47DD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48A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2DF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090E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7E33"/>
    <w:rsid w:val="009B1070"/>
    <w:rsid w:val="009B152E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2DFF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0DF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20B5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273A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40B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974"/>
    <w:rsid w:val="00A34B6A"/>
    <w:rsid w:val="00A357D2"/>
    <w:rsid w:val="00A35833"/>
    <w:rsid w:val="00A3698F"/>
    <w:rsid w:val="00A3699B"/>
    <w:rsid w:val="00A369D3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6AF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0EE2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77CAF"/>
    <w:rsid w:val="00A80758"/>
    <w:rsid w:val="00A817D9"/>
    <w:rsid w:val="00A81FA2"/>
    <w:rsid w:val="00A83EAF"/>
    <w:rsid w:val="00A84AB5"/>
    <w:rsid w:val="00A8517C"/>
    <w:rsid w:val="00A854C1"/>
    <w:rsid w:val="00A8595B"/>
    <w:rsid w:val="00A85E3B"/>
    <w:rsid w:val="00A86812"/>
    <w:rsid w:val="00A86DE8"/>
    <w:rsid w:val="00A87418"/>
    <w:rsid w:val="00A8766D"/>
    <w:rsid w:val="00A879E2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171B"/>
    <w:rsid w:val="00B12BF0"/>
    <w:rsid w:val="00B13067"/>
    <w:rsid w:val="00B1330C"/>
    <w:rsid w:val="00B13587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67D59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723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26C8E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524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5FF8"/>
    <w:rsid w:val="00C96067"/>
    <w:rsid w:val="00C96479"/>
    <w:rsid w:val="00C96EC1"/>
    <w:rsid w:val="00C9714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0CC9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1DCE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28D"/>
    <w:rsid w:val="00D436E5"/>
    <w:rsid w:val="00D43778"/>
    <w:rsid w:val="00D45F5A"/>
    <w:rsid w:val="00D45FFE"/>
    <w:rsid w:val="00D4620F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2C70"/>
    <w:rsid w:val="00D63042"/>
    <w:rsid w:val="00D63F6B"/>
    <w:rsid w:val="00D63FDE"/>
    <w:rsid w:val="00D646B5"/>
    <w:rsid w:val="00D651C7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6840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2FD8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2F9C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413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2627"/>
    <w:rsid w:val="00E93346"/>
    <w:rsid w:val="00E93368"/>
    <w:rsid w:val="00E9390B"/>
    <w:rsid w:val="00E93C60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0DF9"/>
    <w:rsid w:val="00EA17EA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B7A12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D4F3B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074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815"/>
    <w:rsid w:val="00F5713A"/>
    <w:rsid w:val="00F57192"/>
    <w:rsid w:val="00F57F3F"/>
    <w:rsid w:val="00F60A7A"/>
    <w:rsid w:val="00F60D85"/>
    <w:rsid w:val="00F60FDC"/>
    <w:rsid w:val="00F610E7"/>
    <w:rsid w:val="00F610F1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49C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3DC6"/>
    <w:rsid w:val="00F84189"/>
    <w:rsid w:val="00F84B17"/>
    <w:rsid w:val="00F84C01"/>
    <w:rsid w:val="00F85D8C"/>
    <w:rsid w:val="00F85E3B"/>
    <w:rsid w:val="00F87C26"/>
    <w:rsid w:val="00F90A8C"/>
    <w:rsid w:val="00F92500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B48"/>
    <w:rsid w:val="00FE7DBE"/>
    <w:rsid w:val="00FE7EB7"/>
    <w:rsid w:val="00FF007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A8955-6C57-4DD8-9EB7-BB9BB407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12380</TotalTime>
  <Pages>21</Pages>
  <Words>10625</Words>
  <Characters>60566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1836</cp:revision>
  <cp:lastPrinted>2015-12-07T13:40:00Z</cp:lastPrinted>
  <dcterms:created xsi:type="dcterms:W3CDTF">2015-09-08T00:01:00Z</dcterms:created>
  <dcterms:modified xsi:type="dcterms:W3CDTF">2015-12-13T08:49:00Z</dcterms:modified>
</cp:coreProperties>
</file>