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151944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151944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15194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151944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151944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151944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B53F31">
            <w:pPr>
              <w:pStyle w:val="ListParagraph"/>
              <w:numPr>
                <w:ilvl w:val="1"/>
                <w:numId w:val="33"/>
              </w:numPr>
            </w:pPr>
            <w:r>
              <w:t>Class distribution of instances are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C(Y|Y)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>.  Biased towards C(Y|Y)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151944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F75BF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>Random Subsamplings</w:t>
            </w:r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k-Fold</w:t>
            </w:r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151944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formed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>, CN2, Holte’s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151944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151944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151944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</m:t>
              </m:r>
              <m:r>
                <w:rPr>
                  <w:rFonts w:ascii="Cambria Math" w:hAnsi="Cambria Math"/>
                  <w:color w:val="FF0000"/>
                </w:rPr>
                <m:t xml:space="preserve"> (i.e. the intersection)</m:t>
              </m:r>
            </m:oMath>
            <w:bookmarkStart w:id="0" w:name="_GoBack"/>
            <w:bookmarkEnd w:id="0"/>
          </w:p>
          <w:p w:rsidR="00EF2749" w:rsidRDefault="00151944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151944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151944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151944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r>
              <w:rPr>
                <w:b/>
                <w:color w:val="0000FF"/>
              </w:rPr>
              <w:t>Voronoi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Small</w:t>
            </w:r>
            <w:r>
              <w:t xml:space="preserve"> – Underfitting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151944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151944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151944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151944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given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041193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151944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041193">
            <w:pPr>
              <w:jc w:val="center"/>
            </w:pPr>
          </w:p>
          <w:p w:rsidR="00BB529A" w:rsidRPr="00554DC3" w:rsidRDefault="00BB529A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041193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151944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151944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151944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151944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151944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151944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E0726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151944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151944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151944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151944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041193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041193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151944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041193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>
              <w:t>Determining decision boundary in SVM is an optimization problem.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041193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rate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151944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5F2272">
            <w:pPr>
              <w:pStyle w:val="ListParagraph"/>
              <w:numPr>
                <w:ilvl w:val="0"/>
                <w:numId w:val="46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5F2272">
            <w:pPr>
              <w:pStyle w:val="ListParagraph"/>
              <w:numPr>
                <w:ilvl w:val="1"/>
                <w:numId w:val="46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A91385">
            <w:pPr>
              <w:pStyle w:val="ListParagraph"/>
              <w:numPr>
                <w:ilvl w:val="0"/>
                <w:numId w:val="46"/>
              </w:numPr>
            </w:pPr>
            <w:r>
              <w:t>Probability a record appears at least once in the dataset is:</w:t>
            </w:r>
          </w:p>
          <w:p w:rsidR="00A91385" w:rsidRPr="00A91385" w:rsidRDefault="00151944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041193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041193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0411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r w:rsidRPr="003475B5">
              <w:rPr>
                <w:b/>
                <w:sz w:val="20"/>
              </w:rPr>
              <w:t>AdaBoost</w:t>
            </w:r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 xml:space="preserve">Consists of a set of base classifiers: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151944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151944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E4317">
            <w:pPr>
              <w:pStyle w:val="ListParagraph"/>
              <w:numPr>
                <w:ilvl w:val="0"/>
                <w:numId w:val="46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151944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151944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151944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151944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151944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151944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>Review the AdaBoost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2B2348" w:rsidRPr="00644D10" w:rsidRDefault="002B2348" w:rsidP="00127D19">
            <w:pPr>
              <w:rPr>
                <w:b/>
                <w:color w:val="7030A0"/>
                <w:sz w:val="10"/>
                <w:szCs w:val="10"/>
              </w:rPr>
            </w:pPr>
          </w:p>
          <w:p w:rsidR="00644D10" w:rsidRPr="00644D10" w:rsidRDefault="00644D10" w:rsidP="00943D55">
            <w:pPr>
              <w:rPr>
                <w:b/>
                <w:color w:val="7030A0"/>
                <w:sz w:val="10"/>
                <w:szCs w:val="10"/>
              </w:rPr>
            </w:pP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59650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B237D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4078D0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4078D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127D19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80566A">
            <w:pPr>
              <w:pStyle w:val="ListParagraph"/>
              <w:numPr>
                <w:ilvl w:val="0"/>
                <w:numId w:val="33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030CD4">
            <w:pPr>
              <w:pStyle w:val="ListParagraph"/>
              <w:numPr>
                <w:ilvl w:val="0"/>
                <w:numId w:val="33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r w:rsidRPr="00A3699B">
              <w:rPr>
                <w:b/>
                <w:color w:val="0000FF"/>
              </w:rPr>
              <w:t>Intercluster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r w:rsidRPr="00A3699B">
              <w:rPr>
                <w:b/>
                <w:color w:val="0000FF"/>
              </w:rPr>
              <w:t xml:space="preserve">Intracluster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041193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r w:rsidR="00122114" w:rsidRPr="00122114">
              <w:rPr>
                <w:b/>
                <w:color w:val="00B050"/>
              </w:rPr>
              <w:t>Unnested</w:t>
            </w:r>
            <w:r w:rsidR="00122114">
              <w:t>)</w:t>
            </w:r>
          </w:p>
          <w:p w:rsidR="008036F9" w:rsidRDefault="008036F9" w:rsidP="00041193"/>
          <w:p w:rsidR="008036F9" w:rsidRPr="00D60CAB" w:rsidRDefault="008036F9" w:rsidP="00041193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041193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041193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041193"/>
          <w:p w:rsidR="008036F9" w:rsidRPr="00BF0D92" w:rsidRDefault="008036F9" w:rsidP="00041193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041193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041193"/>
          <w:p w:rsidR="008036F9" w:rsidRPr="00C65FCA" w:rsidRDefault="008036F9" w:rsidP="00041193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r w:rsidRPr="00E41B46">
              <w:rPr>
                <w:b/>
                <w:color w:val="0000FF"/>
              </w:rPr>
              <w:t>Medoid</w:t>
            </w:r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041193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041193"/>
          <w:p w:rsidR="00065986" w:rsidRDefault="00065986" w:rsidP="00041193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041193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>Objective functions can have local and global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Partitional Clustering Algorithms</w:t>
            </w:r>
            <w:r>
              <w:t xml:space="preserve"> – Tend to have local objectives.</w:t>
            </w:r>
          </w:p>
          <w:p w:rsidR="00BC5226" w:rsidRPr="0061796A" w:rsidRDefault="00BC5226" w:rsidP="0061796A">
            <w:pPr>
              <w:pStyle w:val="ListParagraph"/>
              <w:numPr>
                <w:ilvl w:val="0"/>
                <w:numId w:val="33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>
              <w:t>Each cluster is associated with a centroid.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041193">
            <w:pPr>
              <w:rPr>
                <w:b/>
              </w:rPr>
            </w:pPr>
          </w:p>
          <w:p w:rsidR="007D100E" w:rsidRPr="009C42F1" w:rsidRDefault="007D100E" w:rsidP="00041193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041193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041193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041193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BA40AE">
            <w:pPr>
              <w:pStyle w:val="ListParagraph"/>
              <w:numPr>
                <w:ilvl w:val="0"/>
                <w:numId w:val="33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151944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151944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>A larger SSE includes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863B3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863B3E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395E8C">
            <w:pPr>
              <w:pStyle w:val="ListParagraph"/>
              <w:numPr>
                <w:ilvl w:val="0"/>
                <w:numId w:val="33"/>
              </w:numPr>
            </w:pPr>
            <w:r>
              <w:t>Basic K-Means can yield empty clusters.</w:t>
            </w:r>
          </w:p>
          <w:p w:rsidR="00395E8C" w:rsidRPr="00C4231B" w:rsidRDefault="00395E8C" w:rsidP="00395E8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7F3CFA">
            <w:pPr>
              <w:pStyle w:val="ListParagraph"/>
              <w:numPr>
                <w:ilvl w:val="0"/>
                <w:numId w:val="33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A36CAA">
            <w:pPr>
              <w:pStyle w:val="ListParagraph"/>
              <w:numPr>
                <w:ilvl w:val="0"/>
                <w:numId w:val="33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A36CAA">
            <w:pPr>
              <w:pStyle w:val="ListParagraph"/>
              <w:numPr>
                <w:ilvl w:val="1"/>
                <w:numId w:val="33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DC113A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041193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041193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041193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041193"/>
          <w:p w:rsidR="0058177E" w:rsidRPr="002150D9" w:rsidRDefault="0058177E" w:rsidP="00041193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127D19">
      <w:footerReference w:type="default" r:id="rId1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44" w:rsidRDefault="00151944" w:rsidP="00664A47">
      <w:r>
        <w:separator/>
      </w:r>
    </w:p>
  </w:endnote>
  <w:endnote w:type="continuationSeparator" w:id="0">
    <w:p w:rsidR="00151944" w:rsidRDefault="0015194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9" w:rsidRDefault="0062333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319A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44" w:rsidRDefault="00151944" w:rsidP="00664A47">
      <w:r>
        <w:separator/>
      </w:r>
    </w:p>
  </w:footnote>
  <w:footnote w:type="continuationSeparator" w:id="0">
    <w:p w:rsidR="00151944" w:rsidRDefault="0015194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958DF"/>
    <w:multiLevelType w:val="hybridMultilevel"/>
    <w:tmpl w:val="9F8A0DDA"/>
    <w:lvl w:ilvl="0" w:tplc="F9721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42"/>
  </w:num>
  <w:num w:numId="4">
    <w:abstractNumId w:val="36"/>
  </w:num>
  <w:num w:numId="5">
    <w:abstractNumId w:val="15"/>
  </w:num>
  <w:num w:numId="6">
    <w:abstractNumId w:val="8"/>
  </w:num>
  <w:num w:numId="7">
    <w:abstractNumId w:val="10"/>
  </w:num>
  <w:num w:numId="8">
    <w:abstractNumId w:val="30"/>
  </w:num>
  <w:num w:numId="9">
    <w:abstractNumId w:val="6"/>
  </w:num>
  <w:num w:numId="10">
    <w:abstractNumId w:val="25"/>
  </w:num>
  <w:num w:numId="11">
    <w:abstractNumId w:val="9"/>
  </w:num>
  <w:num w:numId="12">
    <w:abstractNumId w:val="11"/>
  </w:num>
  <w:num w:numId="13">
    <w:abstractNumId w:val="45"/>
  </w:num>
  <w:num w:numId="14">
    <w:abstractNumId w:val="16"/>
  </w:num>
  <w:num w:numId="15">
    <w:abstractNumId w:val="37"/>
  </w:num>
  <w:num w:numId="16">
    <w:abstractNumId w:val="1"/>
  </w:num>
  <w:num w:numId="17">
    <w:abstractNumId w:val="21"/>
  </w:num>
  <w:num w:numId="18">
    <w:abstractNumId w:val="35"/>
  </w:num>
  <w:num w:numId="19">
    <w:abstractNumId w:val="44"/>
  </w:num>
  <w:num w:numId="20">
    <w:abstractNumId w:val="0"/>
  </w:num>
  <w:num w:numId="21">
    <w:abstractNumId w:val="46"/>
  </w:num>
  <w:num w:numId="22">
    <w:abstractNumId w:val="43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9"/>
  </w:num>
  <w:num w:numId="28">
    <w:abstractNumId w:val="34"/>
  </w:num>
  <w:num w:numId="29">
    <w:abstractNumId w:val="22"/>
  </w:num>
  <w:num w:numId="30">
    <w:abstractNumId w:val="31"/>
  </w:num>
  <w:num w:numId="31">
    <w:abstractNumId w:val="13"/>
  </w:num>
  <w:num w:numId="32">
    <w:abstractNumId w:val="32"/>
  </w:num>
  <w:num w:numId="33">
    <w:abstractNumId w:val="4"/>
  </w:num>
  <w:num w:numId="34">
    <w:abstractNumId w:val="14"/>
  </w:num>
  <w:num w:numId="35">
    <w:abstractNumId w:val="27"/>
  </w:num>
  <w:num w:numId="36">
    <w:abstractNumId w:val="5"/>
  </w:num>
  <w:num w:numId="37">
    <w:abstractNumId w:val="28"/>
  </w:num>
  <w:num w:numId="38">
    <w:abstractNumId w:val="38"/>
  </w:num>
  <w:num w:numId="39">
    <w:abstractNumId w:val="40"/>
  </w:num>
  <w:num w:numId="40">
    <w:abstractNumId w:val="7"/>
  </w:num>
  <w:num w:numId="41">
    <w:abstractNumId w:val="12"/>
  </w:num>
  <w:num w:numId="42">
    <w:abstractNumId w:val="33"/>
  </w:num>
  <w:num w:numId="43">
    <w:abstractNumId w:val="3"/>
  </w:num>
  <w:num w:numId="44">
    <w:abstractNumId w:val="18"/>
  </w:num>
  <w:num w:numId="45">
    <w:abstractNumId w:val="29"/>
  </w:num>
  <w:num w:numId="46">
    <w:abstractNumId w:val="41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EA9"/>
    <w:rsid w:val="002F3069"/>
    <w:rsid w:val="002F3579"/>
    <w:rsid w:val="002F6122"/>
    <w:rsid w:val="002F64CC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D6CF2"/>
    <w:rsid w:val="009D7D5F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5F5A"/>
    <w:rsid w:val="00D45FFE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C5F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98116-A1AE-4B80-AD09-B201DA22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10325</TotalTime>
  <Pages>11</Pages>
  <Words>5742</Words>
  <Characters>32730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1315</cp:revision>
  <cp:lastPrinted>2015-10-12T05:58:00Z</cp:lastPrinted>
  <dcterms:created xsi:type="dcterms:W3CDTF">2015-09-08T00:01:00Z</dcterms:created>
  <dcterms:modified xsi:type="dcterms:W3CDTF">2015-10-13T09:02:00Z</dcterms:modified>
</cp:coreProperties>
</file>