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A95388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A95388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node </w:t>
            </w:r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A95388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A9538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penalizes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r w:rsidRPr="006247E2">
              <w:rPr>
                <w:b/>
                <w:color w:val="0000FF"/>
              </w:rPr>
              <w:t>Underfitting</w:t>
            </w:r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Resubstitution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Resubstitution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Class distribution of instances are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523EE4" w:rsidP="00211C7E">
            <w:r>
              <w:rPr>
                <w:b/>
                <w:color w:val="0000FF"/>
              </w:rPr>
              <w:t xml:space="preserve">Tree Induction: </w:t>
            </w:r>
            <w:r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 including 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46ED1" w:rsidP="00B46ED1">
      <w:pPr>
        <w:jc w:val="center"/>
        <w:rPr>
          <w:b/>
          <w:sz w:val="22"/>
          <w:szCs w:val="6"/>
        </w:rPr>
      </w:pPr>
      <w:r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2914BB" w:rsidTr="008F587E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C(Y|Y)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672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>.  Biased towards C(Y|Y)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014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F_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226B6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 xml:space="preserve">Uses on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come from same original set. If one class value is over- or under-represented in either set, it will skew the results.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>Repeats the whole 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of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6C2A23" w:rsidP="008450D4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>Random Subsamplings</w:t>
            </w:r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k-Fold</w:t>
            </w:r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27262B" w:rsidP="0027262B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>
              <w:rPr>
                <w:b/>
                <w:color w:val="0000FF"/>
                <w:szCs w:val="22"/>
              </w:rPr>
              <w:t xml:space="preserve">curacy of </w:t>
            </w:r>
            <w:r>
              <w:rPr>
                <w:b/>
                <w:i/>
                <w:color w:val="00B050"/>
                <w:szCs w:val="22"/>
              </w:rPr>
              <w:t>k</w:t>
            </w:r>
            <w:r w:rsidRPr="0027262B">
              <w:rPr>
                <w:b/>
                <w:color w:val="0000FF"/>
                <w:szCs w:val="22"/>
              </w:rPr>
              <w:t>-</w:t>
            </w:r>
            <w:r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Pr="00311E7F" w:rsidRDefault="00D0448D" w:rsidP="00311E7F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  <w:r>
              <w:rPr>
                <w:szCs w:val="16"/>
              </w:rPr>
              <w:t xml:space="preserve"> – </w:t>
            </w:r>
          </w:p>
        </w:tc>
        <w:tc>
          <w:tcPr>
            <w:tcW w:w="7572" w:type="dxa"/>
            <w:vAlign w:val="center"/>
          </w:tcPr>
          <w:p w:rsidR="00D0448D" w:rsidRPr="009F1949" w:rsidRDefault="00D0448D" w:rsidP="00333FA1">
            <w:pPr>
              <w:jc w:val="center"/>
              <w:rPr>
                <w:szCs w:val="16"/>
              </w:rPr>
            </w:pPr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4B2519" w:rsidTr="0059650C">
        <w:trPr>
          <w:trHeight w:val="737"/>
        </w:trPr>
        <w:tc>
          <w:tcPr>
            <w:tcW w:w="2380" w:type="dxa"/>
            <w:vAlign w:val="center"/>
          </w:tcPr>
          <w:p w:rsidR="004B2519" w:rsidRPr="002837F0" w:rsidRDefault="004B2519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4B2519" w:rsidRPr="002837F0" w:rsidRDefault="004B2519" w:rsidP="0059650C"/>
        </w:tc>
        <w:tc>
          <w:tcPr>
            <w:tcW w:w="1940" w:type="dxa"/>
            <w:vAlign w:val="center"/>
          </w:tcPr>
          <w:p w:rsidR="004B2519" w:rsidRDefault="004B2519" w:rsidP="00D13F00"/>
        </w:tc>
      </w:tr>
    </w:tbl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862AFD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formed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>, CN2, Holte’s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736965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F13A4F">
              <w:rPr>
                <w:color w:val="7030A0"/>
                <w:szCs w:val="16"/>
              </w:rPr>
              <w:t xml:space="preserve"> </w:t>
            </w:r>
            <w:r w:rsidRPr="00736965">
              <w:rPr>
                <w:szCs w:val="16"/>
              </w:rPr>
              <w:t>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lace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403BE9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D74D33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</m:t>
              </m:r>
            </m:oMath>
          </w:p>
          <w:p w:rsidR="00EF2749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4A05B5">
            <w:pPr>
              <w:pStyle w:val="ListParagraph"/>
              <w:numPr>
                <w:ilvl w:val="0"/>
                <w:numId w:val="44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503A64">
            <w:pPr>
              <w:pStyle w:val="ListParagraph"/>
              <w:numPr>
                <w:ilvl w:val="0"/>
                <w:numId w:val="45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r>
              <w:rPr>
                <w:b/>
                <w:color w:val="0000FF"/>
              </w:rPr>
              <w:t>Voronoi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F4AFE" w:rsidRPr="00B47DC4" w:rsidRDefault="000F4AFE" w:rsidP="00B47DC4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 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0F4AFE" w:rsidRPr="00B47DC4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Small</w:t>
            </w:r>
            <w:r>
              <w:t xml:space="preserve"> – Underfitting and the classifier becomes sensitive to noise points.</w:t>
            </w:r>
          </w:p>
          <w:p w:rsidR="000F4AFE" w:rsidRDefault="000F4AFE" w:rsidP="00DB5B69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is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0F4AFE">
            <w:pPr>
              <w:pStyle w:val="ListParagraph"/>
              <w:numPr>
                <w:ilvl w:val="0"/>
                <w:numId w:val="33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>Each record is assigned a weight factor.</w:t>
            </w:r>
          </w:p>
          <w:p w:rsidR="00DE4710" w:rsidRDefault="00DE4710" w:rsidP="00DE4710">
            <w:pPr>
              <w:pStyle w:val="ListParagraph"/>
              <w:numPr>
                <w:ilvl w:val="0"/>
                <w:numId w:val="33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>
              <w:t xml:space="preserve"> – Attribute value 1</w:t>
            </w:r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Pr="00D22433">
              <w:rPr>
                <w:color w:val="7030A0"/>
              </w:rPr>
              <w:t xml:space="preserve"> </w:t>
            </w:r>
            <w:r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>
              <w:t xml:space="preserve"> – Total number of records with attribute value 1</w:t>
            </w:r>
          </w:p>
          <w:p w:rsidR="006C5D71" w:rsidRPr="004C2386" w:rsidRDefault="00DE4710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1B3EC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1B3ECC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F43BB5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given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4D05C1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A31C1D">
            <w:pPr>
              <w:pStyle w:val="ListParagraph"/>
              <w:numPr>
                <w:ilvl w:val="0"/>
                <w:numId w:val="33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041193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EE4695">
            <w:r w:rsidRPr="00EE4695">
              <w:rPr>
                <w:b/>
                <w:color w:val="FF0000"/>
              </w:rPr>
              <w:t xml:space="preserve">This equations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EE4695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041193">
            <w:pPr>
              <w:jc w:val="center"/>
            </w:pPr>
          </w:p>
          <w:p w:rsidR="00BB529A" w:rsidRPr="00554DC3" w:rsidRDefault="00BB529A" w:rsidP="00041193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041193">
            <w:pPr>
              <w:rPr>
                <w:b/>
                <w:color w:val="7030A0"/>
              </w:rPr>
            </w:pP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BB529A" w:rsidP="00FE5700">
            <w:pPr>
              <w:pStyle w:val="ListParagraph"/>
              <w:numPr>
                <w:ilvl w:val="0"/>
                <w:numId w:val="46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 xml:space="preserve">– </w:t>
            </w:r>
            <w:r w:rsidRPr="00FE5700">
              <w:t xml:space="preserve">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t xml:space="preserve"> and attribute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 xml:space="preserve">Use a two-way </w:t>
            </w:r>
            <w:r>
              <w:t xml:space="preserve">(i.e. binary) </w:t>
            </w:r>
            <w:r>
              <w:t>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BB529A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>– Continuous value for attribute</w:t>
            </w:r>
          </w:p>
          <w:p w:rsidR="00BB529A" w:rsidRPr="00F078C2" w:rsidRDefault="00BB529A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>– Class value</w:t>
            </w:r>
          </w:p>
          <w:p w:rsidR="00BB529A" w:rsidRPr="00F078C2" w:rsidRDefault="00BB529A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BB529A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Pr="00F078C2">
              <w:rPr>
                <w:b/>
                <w:color w:val="7030A0"/>
              </w:rPr>
              <w:t xml:space="preserve"> </w:t>
            </w:r>
            <w:r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04119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E0726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Pr="00674972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674972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rPr>
                <w:b/>
                <w:color w:val="7030A0"/>
              </w:rPr>
              <w:t xml:space="preserve"> </w:t>
            </w:r>
            <w:r w:rsidRPr="00674972">
              <w:t>– Number of records with attribute value</w:t>
            </w:r>
            <w:r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rPr>
                <w:b/>
                <w:color w:val="7030A0"/>
              </w:rPr>
              <w:t xml:space="preserve"> </w:t>
            </w:r>
            <w:r w:rsidRPr="00674972">
              <w:t>and class value</w:t>
            </w:r>
            <w:r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674972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>– Number of records with class value</w:t>
            </w:r>
            <w:r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Pr="00674972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21402B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rPr>
                <w:b/>
                <w:color w:val="7030A0"/>
              </w:rPr>
              <w:t xml:space="preserve"> </w:t>
            </w:r>
            <w:r w:rsidRPr="00674972">
              <w:t>– Number of records with attribute value</w:t>
            </w:r>
            <w:r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rPr>
                <w:b/>
                <w:color w:val="7030A0"/>
              </w:rPr>
              <w:t xml:space="preserve"> </w:t>
            </w:r>
            <w:r w:rsidRPr="00674972">
              <w:t>and class value</w:t>
            </w:r>
            <w:r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21402B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>– Number of records with class value</w:t>
            </w:r>
            <w:r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m</m:t>
                    </m:r>
                  </m:den>
                </m:f>
              </m:oMath>
            </m:oMathPara>
          </w:p>
          <w:p w:rsidR="001543A7" w:rsidRPr="0021402B" w:rsidRDefault="001543A7" w:rsidP="001543A7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rPr>
                <w:b/>
                <w:color w:val="7030A0"/>
              </w:rPr>
              <w:t xml:space="preserve"> </w:t>
            </w:r>
            <w:r w:rsidRPr="00674972">
              <w:t>– Number of records with attribute value</w:t>
            </w:r>
            <w:r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rPr>
                <w:b/>
                <w:color w:val="7030A0"/>
              </w:rPr>
              <w:t xml:space="preserve"> </w:t>
            </w:r>
            <w:r w:rsidRPr="00674972">
              <w:t>and class value</w:t>
            </w:r>
            <w:r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1543A7" w:rsidP="001543A7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>– Number of records with class value</w:t>
            </w:r>
            <w:r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1543A7" w:rsidP="001543A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</w:t>
            </w:r>
            <w:r>
              <w:t xml:space="preserve">User specified “prior probability.” Most important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ED2C3E" w:rsidP="002835E3">
            <w:pPr>
              <w:rPr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>–</w:t>
            </w:r>
            <w:r>
              <w:t xml:space="preserve"> </w:t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767E34" w:rsidRDefault="00767E34" w:rsidP="00767E34">
      <w:pPr>
        <w:rPr>
          <w:sz w:val="6"/>
          <w:szCs w:val="6"/>
        </w:rPr>
      </w:pPr>
    </w:p>
    <w:p w:rsidR="00A31C1D" w:rsidRDefault="00A31C1D" w:rsidP="00A31C1D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36BF9" w:rsidTr="0059650C">
        <w:trPr>
          <w:trHeight w:val="43"/>
          <w:jc w:val="center"/>
        </w:trPr>
        <w:tc>
          <w:tcPr>
            <w:tcW w:w="3786" w:type="dxa"/>
            <w:vMerge w:val="restart"/>
            <w:vAlign w:val="center"/>
          </w:tcPr>
          <w:p w:rsidR="00936BF9" w:rsidRPr="00311E7F" w:rsidRDefault="00936BF9" w:rsidP="0059650C">
            <w:pPr>
              <w:rPr>
                <w:szCs w:val="16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jc w:val="center"/>
              <w:rPr>
                <w:szCs w:val="16"/>
              </w:rPr>
            </w:pPr>
            <w:r w:rsidRPr="00DF5E9B">
              <w:rPr>
                <w:b/>
                <w:color w:val="0000FF"/>
                <w:szCs w:val="16"/>
              </w:rPr>
              <w:t>ROC Curve</w:t>
            </w: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3786" w:type="dxa"/>
            <w:vAlign w:val="center"/>
          </w:tcPr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>Used to illustrate the performance of a binary classifier.</w:t>
            </w:r>
          </w:p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Two Dimensional</w:t>
            </w:r>
          </w:p>
          <w:p w:rsidR="00936BF9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</w:p>
          <w:p w:rsidR="00936BF9" w:rsidRPr="00DF5E9B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Rate</w:t>
            </w:r>
          </w:p>
          <w:p w:rsidR="00936BF9" w:rsidRPr="00DF5E9B" w:rsidRDefault="00936BF9" w:rsidP="0059650C">
            <w:pPr>
              <w:jc w:val="center"/>
              <w:rPr>
                <w:b/>
                <w:color w:val="0000FF"/>
                <w:szCs w:val="16"/>
              </w:rPr>
            </w:pPr>
          </w:p>
        </w:tc>
        <w:tc>
          <w:tcPr>
            <w:tcW w:w="3786" w:type="dxa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</w:tbl>
    <w:p w:rsidR="00936BF9" w:rsidRDefault="00936BF9" w:rsidP="00936BF9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543AF">
            <w:pPr>
              <w:pStyle w:val="ListParagraph"/>
              <w:numPr>
                <w:ilvl w:val="0"/>
                <w:numId w:val="33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4C2386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4C2386">
            <w:pPr>
              <w:pStyle w:val="ListParagraph"/>
              <w:numPr>
                <w:ilvl w:val="0"/>
                <w:numId w:val="33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041193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041193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041193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041193"/>
          <w:p w:rsidR="0058177E" w:rsidRPr="002150D9" w:rsidRDefault="0058177E" w:rsidP="00041193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041193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  <w:bookmarkStart w:id="0" w:name="_GoBack"/>
            <w:bookmarkEnd w:id="0"/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791" w:rsidRDefault="006A0791" w:rsidP="00664A47">
      <w:r>
        <w:separator/>
      </w:r>
    </w:p>
  </w:endnote>
  <w:endnote w:type="continuationSeparator" w:id="0">
    <w:p w:rsidR="006A0791" w:rsidRDefault="006A0791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339" w:rsidRDefault="0062333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28D8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791" w:rsidRDefault="006A0791" w:rsidP="00664A47">
      <w:r>
        <w:separator/>
      </w:r>
    </w:p>
  </w:footnote>
  <w:footnote w:type="continuationSeparator" w:id="0">
    <w:p w:rsidR="006A0791" w:rsidRDefault="006A0791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8903DF"/>
    <w:multiLevelType w:val="hybridMultilevel"/>
    <w:tmpl w:val="7CD6C04E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41"/>
  </w:num>
  <w:num w:numId="4">
    <w:abstractNumId w:val="35"/>
  </w:num>
  <w:num w:numId="5">
    <w:abstractNumId w:val="15"/>
  </w:num>
  <w:num w:numId="6">
    <w:abstractNumId w:val="8"/>
  </w:num>
  <w:num w:numId="7">
    <w:abstractNumId w:val="10"/>
  </w:num>
  <w:num w:numId="8">
    <w:abstractNumId w:val="29"/>
  </w:num>
  <w:num w:numId="9">
    <w:abstractNumId w:val="6"/>
  </w:num>
  <w:num w:numId="10">
    <w:abstractNumId w:val="24"/>
  </w:num>
  <w:num w:numId="11">
    <w:abstractNumId w:val="9"/>
  </w:num>
  <w:num w:numId="12">
    <w:abstractNumId w:val="11"/>
  </w:num>
  <w:num w:numId="13">
    <w:abstractNumId w:val="44"/>
  </w:num>
  <w:num w:numId="14">
    <w:abstractNumId w:val="16"/>
  </w:num>
  <w:num w:numId="15">
    <w:abstractNumId w:val="36"/>
  </w:num>
  <w:num w:numId="16">
    <w:abstractNumId w:val="1"/>
  </w:num>
  <w:num w:numId="17">
    <w:abstractNumId w:val="21"/>
  </w:num>
  <w:num w:numId="18">
    <w:abstractNumId w:val="34"/>
  </w:num>
  <w:num w:numId="19">
    <w:abstractNumId w:val="43"/>
  </w:num>
  <w:num w:numId="20">
    <w:abstractNumId w:val="0"/>
  </w:num>
  <w:num w:numId="21">
    <w:abstractNumId w:val="45"/>
  </w:num>
  <w:num w:numId="22">
    <w:abstractNumId w:val="42"/>
  </w:num>
  <w:num w:numId="23">
    <w:abstractNumId w:val="20"/>
  </w:num>
  <w:num w:numId="24">
    <w:abstractNumId w:val="17"/>
  </w:num>
  <w:num w:numId="25">
    <w:abstractNumId w:val="2"/>
  </w:num>
  <w:num w:numId="26">
    <w:abstractNumId w:val="19"/>
  </w:num>
  <w:num w:numId="27">
    <w:abstractNumId w:val="38"/>
  </w:num>
  <w:num w:numId="28">
    <w:abstractNumId w:val="33"/>
  </w:num>
  <w:num w:numId="29">
    <w:abstractNumId w:val="22"/>
  </w:num>
  <w:num w:numId="30">
    <w:abstractNumId w:val="30"/>
  </w:num>
  <w:num w:numId="31">
    <w:abstractNumId w:val="13"/>
  </w:num>
  <w:num w:numId="32">
    <w:abstractNumId w:val="31"/>
  </w:num>
  <w:num w:numId="33">
    <w:abstractNumId w:val="4"/>
  </w:num>
  <w:num w:numId="34">
    <w:abstractNumId w:val="14"/>
  </w:num>
  <w:num w:numId="35">
    <w:abstractNumId w:val="26"/>
  </w:num>
  <w:num w:numId="36">
    <w:abstractNumId w:val="5"/>
  </w:num>
  <w:num w:numId="37">
    <w:abstractNumId w:val="27"/>
  </w:num>
  <w:num w:numId="38">
    <w:abstractNumId w:val="37"/>
  </w:num>
  <w:num w:numId="39">
    <w:abstractNumId w:val="39"/>
  </w:num>
  <w:num w:numId="40">
    <w:abstractNumId w:val="7"/>
  </w:num>
  <w:num w:numId="41">
    <w:abstractNumId w:val="12"/>
  </w:num>
  <w:num w:numId="42">
    <w:abstractNumId w:val="32"/>
  </w:num>
  <w:num w:numId="43">
    <w:abstractNumId w:val="3"/>
  </w:num>
  <w:num w:numId="44">
    <w:abstractNumId w:val="18"/>
  </w:num>
  <w:num w:numId="45">
    <w:abstractNumId w:val="2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265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5198"/>
    <w:rsid w:val="00075D43"/>
    <w:rsid w:val="000776F0"/>
    <w:rsid w:val="000806CF"/>
    <w:rsid w:val="00081CE5"/>
    <w:rsid w:val="00082A67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2B6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E018F"/>
    <w:rsid w:val="001E0A89"/>
    <w:rsid w:val="001E0CF1"/>
    <w:rsid w:val="001E1212"/>
    <w:rsid w:val="001E2BB4"/>
    <w:rsid w:val="001E2D67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B6"/>
    <w:rsid w:val="00223B2C"/>
    <w:rsid w:val="002249B5"/>
    <w:rsid w:val="00224E82"/>
    <w:rsid w:val="0022522C"/>
    <w:rsid w:val="0022548A"/>
    <w:rsid w:val="00225716"/>
    <w:rsid w:val="00225C01"/>
    <w:rsid w:val="00226346"/>
    <w:rsid w:val="00226A5A"/>
    <w:rsid w:val="002279C5"/>
    <w:rsid w:val="00227F29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18E3"/>
    <w:rsid w:val="00242131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C02"/>
    <w:rsid w:val="002713C7"/>
    <w:rsid w:val="0027262B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5E3"/>
    <w:rsid w:val="002837F0"/>
    <w:rsid w:val="0028527E"/>
    <w:rsid w:val="00285CE8"/>
    <w:rsid w:val="002867DA"/>
    <w:rsid w:val="00286CAC"/>
    <w:rsid w:val="002914BB"/>
    <w:rsid w:val="00291FA1"/>
    <w:rsid w:val="002924DD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EA9"/>
    <w:rsid w:val="002F3069"/>
    <w:rsid w:val="002F3579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B8"/>
    <w:rsid w:val="003075B7"/>
    <w:rsid w:val="0031023C"/>
    <w:rsid w:val="00311E7F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5BF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6A6C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06445"/>
    <w:rsid w:val="00406A6E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29B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21C3"/>
    <w:rsid w:val="00483054"/>
    <w:rsid w:val="00483437"/>
    <w:rsid w:val="00483B37"/>
    <w:rsid w:val="0048415D"/>
    <w:rsid w:val="004849FB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79A"/>
    <w:rsid w:val="004D3810"/>
    <w:rsid w:val="004D395D"/>
    <w:rsid w:val="004D4BF9"/>
    <w:rsid w:val="004D4C81"/>
    <w:rsid w:val="004D4F13"/>
    <w:rsid w:val="004D5095"/>
    <w:rsid w:val="004D57A2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5ACC"/>
    <w:rsid w:val="004E6C54"/>
    <w:rsid w:val="004E7F0E"/>
    <w:rsid w:val="004F07E0"/>
    <w:rsid w:val="004F12A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8BA"/>
    <w:rsid w:val="00586C4C"/>
    <w:rsid w:val="00590435"/>
    <w:rsid w:val="00590CFF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DE5"/>
    <w:rsid w:val="005D4C65"/>
    <w:rsid w:val="005D53B7"/>
    <w:rsid w:val="005D5B50"/>
    <w:rsid w:val="005D609D"/>
    <w:rsid w:val="005D6139"/>
    <w:rsid w:val="005D647E"/>
    <w:rsid w:val="005D6C26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6A5"/>
    <w:rsid w:val="005F4654"/>
    <w:rsid w:val="005F52A2"/>
    <w:rsid w:val="005F5335"/>
    <w:rsid w:val="005F5772"/>
    <w:rsid w:val="005F6210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0F54"/>
    <w:rsid w:val="006415BF"/>
    <w:rsid w:val="00642370"/>
    <w:rsid w:val="00642811"/>
    <w:rsid w:val="00642E73"/>
    <w:rsid w:val="006443CE"/>
    <w:rsid w:val="00644CA7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0791"/>
    <w:rsid w:val="006A104F"/>
    <w:rsid w:val="006A13C0"/>
    <w:rsid w:val="006A1A07"/>
    <w:rsid w:val="006A2F56"/>
    <w:rsid w:val="006A37F6"/>
    <w:rsid w:val="006A4353"/>
    <w:rsid w:val="006A627E"/>
    <w:rsid w:val="006A62F9"/>
    <w:rsid w:val="006A6FFC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67AF"/>
    <w:rsid w:val="006C0BB6"/>
    <w:rsid w:val="006C2A23"/>
    <w:rsid w:val="006C3982"/>
    <w:rsid w:val="006C5D71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269E"/>
    <w:rsid w:val="006F2EE6"/>
    <w:rsid w:val="006F3DE5"/>
    <w:rsid w:val="006F5464"/>
    <w:rsid w:val="006F7A8D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163F6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8015C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7D4"/>
    <w:rsid w:val="00803CE4"/>
    <w:rsid w:val="00803F2D"/>
    <w:rsid w:val="00804199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AFD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332D"/>
    <w:rsid w:val="008B3AE8"/>
    <w:rsid w:val="008B420D"/>
    <w:rsid w:val="008B4B66"/>
    <w:rsid w:val="008B6419"/>
    <w:rsid w:val="008C02D0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7E33"/>
    <w:rsid w:val="009B1070"/>
    <w:rsid w:val="009B1B56"/>
    <w:rsid w:val="009B1C65"/>
    <w:rsid w:val="009B262F"/>
    <w:rsid w:val="009B2CB8"/>
    <w:rsid w:val="009B3C4C"/>
    <w:rsid w:val="009B3C6F"/>
    <w:rsid w:val="009B54DD"/>
    <w:rsid w:val="009B5A32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31F"/>
    <w:rsid w:val="00A66C3F"/>
    <w:rsid w:val="00A66D49"/>
    <w:rsid w:val="00A702B7"/>
    <w:rsid w:val="00A70335"/>
    <w:rsid w:val="00A72656"/>
    <w:rsid w:val="00A7298E"/>
    <w:rsid w:val="00A72C67"/>
    <w:rsid w:val="00A731B2"/>
    <w:rsid w:val="00A732F6"/>
    <w:rsid w:val="00A748B7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09F2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400E3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D30"/>
    <w:rsid w:val="00B86E0F"/>
    <w:rsid w:val="00B86EBD"/>
    <w:rsid w:val="00B87141"/>
    <w:rsid w:val="00B8789C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0DC8"/>
    <w:rsid w:val="00BD2269"/>
    <w:rsid w:val="00BD3571"/>
    <w:rsid w:val="00BD42D4"/>
    <w:rsid w:val="00BD45AE"/>
    <w:rsid w:val="00BD55DC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25689"/>
    <w:rsid w:val="00C321B0"/>
    <w:rsid w:val="00C335AC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51DE"/>
    <w:rsid w:val="00D36A74"/>
    <w:rsid w:val="00D41023"/>
    <w:rsid w:val="00D436E5"/>
    <w:rsid w:val="00D45F5A"/>
    <w:rsid w:val="00D45FFE"/>
    <w:rsid w:val="00D475D0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4CF"/>
    <w:rsid w:val="00D72A80"/>
    <w:rsid w:val="00D7414D"/>
    <w:rsid w:val="00D74D33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5B69"/>
    <w:rsid w:val="00DB6222"/>
    <w:rsid w:val="00DB68DE"/>
    <w:rsid w:val="00DB6C5F"/>
    <w:rsid w:val="00DC15E3"/>
    <w:rsid w:val="00DC21A1"/>
    <w:rsid w:val="00DC2F10"/>
    <w:rsid w:val="00DC3483"/>
    <w:rsid w:val="00DC4EBA"/>
    <w:rsid w:val="00DC576F"/>
    <w:rsid w:val="00DC6DC2"/>
    <w:rsid w:val="00DC7D5F"/>
    <w:rsid w:val="00DD0A66"/>
    <w:rsid w:val="00DD16B5"/>
    <w:rsid w:val="00DD16BB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A95"/>
    <w:rsid w:val="00E16AC1"/>
    <w:rsid w:val="00E16BC3"/>
    <w:rsid w:val="00E1726B"/>
    <w:rsid w:val="00E175A6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C8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A3F"/>
    <w:rsid w:val="00E65E06"/>
    <w:rsid w:val="00E667F5"/>
    <w:rsid w:val="00E67270"/>
    <w:rsid w:val="00E67EF5"/>
    <w:rsid w:val="00E70411"/>
    <w:rsid w:val="00E7118E"/>
    <w:rsid w:val="00E7322D"/>
    <w:rsid w:val="00E75039"/>
    <w:rsid w:val="00E7522A"/>
    <w:rsid w:val="00E7596D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2C3E"/>
    <w:rsid w:val="00ED394E"/>
    <w:rsid w:val="00EE24B4"/>
    <w:rsid w:val="00EE33BE"/>
    <w:rsid w:val="00EE34F8"/>
    <w:rsid w:val="00EE38EA"/>
    <w:rsid w:val="00EE432A"/>
    <w:rsid w:val="00EE4695"/>
    <w:rsid w:val="00EE50A0"/>
    <w:rsid w:val="00EE68E8"/>
    <w:rsid w:val="00EE717E"/>
    <w:rsid w:val="00EE719D"/>
    <w:rsid w:val="00EE74AD"/>
    <w:rsid w:val="00EF2749"/>
    <w:rsid w:val="00EF2B68"/>
    <w:rsid w:val="00EF2EDD"/>
    <w:rsid w:val="00EF4049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78C2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B17"/>
    <w:rsid w:val="00F84C01"/>
    <w:rsid w:val="00F85D8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337E"/>
    <w:rsid w:val="00FB3D9E"/>
    <w:rsid w:val="00FB4F0F"/>
    <w:rsid w:val="00FB640B"/>
    <w:rsid w:val="00FB7414"/>
    <w:rsid w:val="00FB793D"/>
    <w:rsid w:val="00FB7D53"/>
    <w:rsid w:val="00FC14F2"/>
    <w:rsid w:val="00FC16CE"/>
    <w:rsid w:val="00FC17BC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87666-E810-441B-8332-AE82BBC0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8</Pages>
  <Words>4132</Words>
  <Characters>23558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1089</cp:revision>
  <cp:lastPrinted>2015-10-05T02:03:00Z</cp:lastPrinted>
  <dcterms:created xsi:type="dcterms:W3CDTF">2015-09-08T00:01:00Z</dcterms:created>
  <dcterms:modified xsi:type="dcterms:W3CDTF">2015-10-05T02:58:00Z</dcterms:modified>
</cp:coreProperties>
</file>