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D3FD14" w14:textId="4F611E1B" w:rsidR="00D56BE2" w:rsidRPr="006C56AF" w:rsidRDefault="00E11002" w:rsidP="006C56AF">
      <w:pPr>
        <w:pStyle w:val="Title"/>
      </w:pPr>
      <w:r w:rsidRPr="006C56AF">
        <w:drawing>
          <wp:anchor distT="0" distB="0" distL="114300" distR="114300" simplePos="0" relativeHeight="251658240" behindDoc="1" locked="0" layoutInCell="1" allowOverlap="1" wp14:anchorId="6C8DD750" wp14:editId="1BA745D9">
            <wp:simplePos x="0" y="0"/>
            <wp:positionH relativeFrom="column">
              <wp:posOffset>-937260</wp:posOffset>
            </wp:positionH>
            <wp:positionV relativeFrom="paragraph">
              <wp:posOffset>-906780</wp:posOffset>
            </wp:positionV>
            <wp:extent cx="7879080" cy="10196506"/>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tnx_sol.png"/>
                    <pic:cNvPicPr/>
                  </pic:nvPicPr>
                  <pic:blipFill>
                    <a:blip r:embed="rId11">
                      <a:extLst>
                        <a:ext uri="{28A0092B-C50C-407E-A947-70E740481C1C}">
                          <a14:useLocalDpi xmlns:a14="http://schemas.microsoft.com/office/drawing/2010/main" val="0"/>
                        </a:ext>
                      </a:extLst>
                    </a:blip>
                    <a:stretch>
                      <a:fillRect/>
                    </a:stretch>
                  </pic:blipFill>
                  <pic:spPr>
                    <a:xfrm>
                      <a:off x="0" y="0"/>
                      <a:ext cx="7882026" cy="10200318"/>
                    </a:xfrm>
                    <a:prstGeom prst="rect">
                      <a:avLst/>
                    </a:prstGeom>
                  </pic:spPr>
                </pic:pic>
              </a:graphicData>
            </a:graphic>
            <wp14:sizeRelH relativeFrom="margin">
              <wp14:pctWidth>0</wp14:pctWidth>
            </wp14:sizeRelH>
            <wp14:sizeRelV relativeFrom="margin">
              <wp14:pctHeight>0</wp14:pctHeight>
            </wp14:sizeRelV>
          </wp:anchor>
        </w:drawing>
      </w:r>
      <w:r w:rsidR="0054331C" w:rsidRPr="006C56AF">
        <w:t>Nutanix Cluster</w:t>
      </w:r>
      <w:r w:rsidR="006C56AF" w:rsidRPr="006C56AF">
        <w:t xml:space="preserve"> </w:t>
      </w:r>
      <w:r w:rsidR="0054331C" w:rsidRPr="006C56AF">
        <w:t xml:space="preserve">Deployment </w:t>
      </w:r>
      <w:r w:rsidR="00EA790D" w:rsidRPr="006C56AF">
        <w:t>–</w:t>
      </w:r>
      <w:r w:rsidR="0054331C" w:rsidRPr="006C56AF">
        <w:t xml:space="preserve"> </w:t>
      </w:r>
      <w:r w:rsidR="00EA790D" w:rsidRPr="006C56AF">
        <w:t>As Built</w:t>
      </w:r>
      <w:r w:rsidR="00F40D03" w:rsidRPr="006C56AF">
        <w:t xml:space="preserve"> Guide</w:t>
      </w:r>
    </w:p>
    <w:p w14:paraId="16FA22D3" w14:textId="40C81A15" w:rsidR="00200622" w:rsidRPr="00B21C75" w:rsidRDefault="00200622" w:rsidP="006C56AF">
      <w:pPr>
        <w:pStyle w:val="Title"/>
      </w:pPr>
      <w:r w:rsidRPr="00B21C75">
        <w:br w:type="page"/>
      </w:r>
      <w:bookmarkStart w:id="0" w:name="_GoBack"/>
      <w:bookmarkEnd w:id="0"/>
    </w:p>
    <w:p w14:paraId="4B6B6C76" w14:textId="1FA46033" w:rsidR="00C1428A" w:rsidRPr="00B21C75" w:rsidRDefault="00C1428A">
      <w:pPr>
        <w:spacing w:before="0" w:after="160"/>
        <w:ind w:left="0"/>
        <w:rPr>
          <w:rFonts w:ascii="Gotham Medium" w:hAnsi="Gotham Medium"/>
        </w:rPr>
      </w:pPr>
    </w:p>
    <w:p w14:paraId="4586BC2A" w14:textId="000B389B" w:rsidR="00BD73B1" w:rsidRPr="00B21C75" w:rsidRDefault="007924D5" w:rsidP="00E30550">
      <w:pPr>
        <w:spacing w:before="0" w:after="160"/>
        <w:ind w:left="0"/>
        <w:rPr>
          <w:rFonts w:ascii="Gotham Medium" w:hAnsi="Gotham Medium"/>
          <w:color w:val="FF0000"/>
        </w:rPr>
      </w:pPr>
      <w:r w:rsidRPr="00B21C75">
        <w:rPr>
          <w:rFonts w:ascii="Gotham Medium" w:hAnsi="Gotham Medium"/>
          <w:noProof/>
        </w:rPr>
        <mc:AlternateContent>
          <mc:Choice Requires="wps">
            <w:drawing>
              <wp:anchor distT="45720" distB="45720" distL="114300" distR="114300" simplePos="0" relativeHeight="251660288" behindDoc="0" locked="0" layoutInCell="1" allowOverlap="1" wp14:anchorId="2B9B2FA7" wp14:editId="34B2368D">
                <wp:simplePos x="0" y="0"/>
                <wp:positionH relativeFrom="page">
                  <wp:posOffset>1651440</wp:posOffset>
                </wp:positionH>
                <wp:positionV relativeFrom="page">
                  <wp:posOffset>1261892</wp:posOffset>
                </wp:positionV>
                <wp:extent cx="4480560" cy="2825496"/>
                <wp:effectExtent l="0" t="0" r="15240" b="133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2825496"/>
                        </a:xfrm>
                        <a:prstGeom prst="rect">
                          <a:avLst/>
                        </a:prstGeom>
                        <a:solidFill>
                          <a:srgbClr val="FFFFFF"/>
                        </a:solidFill>
                        <a:ln w="9525">
                          <a:solidFill>
                            <a:srgbClr val="231F20"/>
                          </a:solidFill>
                          <a:miter lim="800000"/>
                          <a:headEnd/>
                          <a:tailEnd/>
                        </a:ln>
                      </wps:spPr>
                      <wps:txbx>
                        <w:txbxContent>
                          <w:p w14:paraId="27DACF0F" w14:textId="3DCA5E4F" w:rsidR="00A9324A" w:rsidRPr="00FA7E13" w:rsidRDefault="00A9324A" w:rsidP="00C1428A">
                            <w:pPr>
                              <w:rPr>
                                <w:rFonts w:ascii="Gotham Medium" w:hAnsi="Gotham Medium"/>
                              </w:rPr>
                            </w:pPr>
                            <w:r w:rsidRPr="00FA7E13">
                              <w:rPr>
                                <w:rFonts w:ascii="Gotham Medium" w:hAnsi="Gotham Medium"/>
                              </w:rPr>
                              <w:t>Copyright 201</w:t>
                            </w:r>
                            <w:r w:rsidR="00226CEF" w:rsidRPr="00FA7E13">
                              <w:rPr>
                                <w:rFonts w:ascii="Gotham Medium" w:hAnsi="Gotham Medium"/>
                              </w:rPr>
                              <w:t>8</w:t>
                            </w:r>
                            <w:r w:rsidRPr="00FA7E13">
                              <w:rPr>
                                <w:rFonts w:ascii="Gotham Medium" w:hAnsi="Gotham Medium"/>
                              </w:rPr>
                              <w:t xml:space="preserve"> Nutanix, Inc.</w:t>
                            </w:r>
                          </w:p>
                          <w:p w14:paraId="75B236CB" w14:textId="77777777" w:rsidR="00A9324A" w:rsidRPr="00FA7E13" w:rsidRDefault="00A9324A" w:rsidP="00C1428A">
                            <w:pPr>
                              <w:ind w:left="720"/>
                              <w:rPr>
                                <w:rFonts w:ascii="Gotham Medium" w:hAnsi="Gotham Medium"/>
                              </w:rPr>
                            </w:pPr>
                            <w:r w:rsidRPr="00FA7E13">
                              <w:rPr>
                                <w:rFonts w:ascii="Gotham Medium" w:hAnsi="Gotham Medium"/>
                              </w:rPr>
                              <w:t>Nutanix, Inc.</w:t>
                            </w:r>
                          </w:p>
                          <w:p w14:paraId="316CB7F9" w14:textId="77777777" w:rsidR="00A9324A" w:rsidRPr="00FA7E13" w:rsidRDefault="00A9324A" w:rsidP="00C1428A">
                            <w:pPr>
                              <w:ind w:left="720"/>
                              <w:rPr>
                                <w:rFonts w:ascii="Gotham Medium" w:hAnsi="Gotham Medium"/>
                              </w:rPr>
                            </w:pPr>
                            <w:r w:rsidRPr="00FA7E13">
                              <w:rPr>
                                <w:rFonts w:ascii="Gotham Medium" w:hAnsi="Gotham Medium"/>
                              </w:rPr>
                              <w:t>1740 Technology Drive, Suite 150</w:t>
                            </w:r>
                          </w:p>
                          <w:p w14:paraId="104635BD" w14:textId="32DA97E3" w:rsidR="00A9324A" w:rsidRPr="00FA7E13" w:rsidRDefault="00A9324A" w:rsidP="00C1428A">
                            <w:pPr>
                              <w:ind w:left="720"/>
                              <w:rPr>
                                <w:rFonts w:ascii="Gotham Medium" w:hAnsi="Gotham Medium"/>
                              </w:rPr>
                            </w:pPr>
                            <w:r w:rsidRPr="00FA7E13">
                              <w:rPr>
                                <w:rFonts w:ascii="Gotham Medium" w:hAnsi="Gotham Medium"/>
                              </w:rPr>
                              <w:t>San Jose, CA 95110</w:t>
                            </w:r>
                          </w:p>
                          <w:p w14:paraId="70884B7B" w14:textId="77777777" w:rsidR="00A9324A" w:rsidRPr="00FA7E13" w:rsidRDefault="00A9324A" w:rsidP="00C1428A">
                            <w:pPr>
                              <w:rPr>
                                <w:rFonts w:ascii="Gotham Medium" w:hAnsi="Gotham Medium"/>
                              </w:rPr>
                            </w:pPr>
                            <w:r w:rsidRPr="00FA7E13">
                              <w:rPr>
                                <w:rFonts w:ascii="Gotham Medium" w:hAnsi="Gotham Medium"/>
                              </w:rPr>
                              <w:t xml:space="preserve">All rights reserved. This product is protected by U.S. and international copyright and intellectual property laws. </w:t>
                            </w:r>
                          </w:p>
                          <w:p w14:paraId="42111218" w14:textId="2D905E49" w:rsidR="00A9324A" w:rsidRPr="00FA7E13" w:rsidRDefault="00A9324A" w:rsidP="00C1428A">
                            <w:pPr>
                              <w:rPr>
                                <w:rFonts w:ascii="Gotham Medium" w:hAnsi="Gotham Medium"/>
                              </w:rPr>
                            </w:pPr>
                            <w:r w:rsidRPr="00FA7E13">
                              <w:rPr>
                                <w:rFonts w:ascii="Gotham Medium" w:hAnsi="Gotham Medium"/>
                              </w:rPr>
                              <w:t>Nutanix is a trademark of Nutanix, Inc. in the United States and/or other jurisdictions. All other marks and names mentioned herein may be trademarks of their respective companies.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9B2FA7" id="_x0000_t202" coordsize="21600,21600" o:spt="202" path="m,l,21600r21600,l21600,xe">
                <v:stroke joinstyle="miter"/>
                <v:path gradientshapeok="t" o:connecttype="rect"/>
              </v:shapetype>
              <v:shape id="Text Box 2" o:spid="_x0000_s1026" type="#_x0000_t202" style="position:absolute;margin-left:130.05pt;margin-top:99.35pt;width:352.8pt;height:222.5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" strokecolor="#231f20">
                <v:textbox>
                  <w:txbxContent>
                    <w:p w14:paraId="27DACF0F" w14:textId="3DCA5E4F" w:rsidR="00A9324A" w:rsidRPr="00FA7E13" w:rsidRDefault="00A9324A" w:rsidP="00C1428A">
                      <w:pPr>
                        <w:rPr>
                          <w:rFonts w:ascii="Gotham Medium" w:hAnsi="Gotham Medium"/>
                        </w:rPr>
                      </w:pPr>
                      <w:r w:rsidRPr="00FA7E13">
                        <w:rPr>
                          <w:rFonts w:ascii="Gotham Medium" w:hAnsi="Gotham Medium"/>
                        </w:rPr>
                        <w:t>Copyright 201</w:t>
                      </w:r>
                      <w:r w:rsidR="00226CEF" w:rsidRPr="00FA7E13">
                        <w:rPr>
                          <w:rFonts w:ascii="Gotham Medium" w:hAnsi="Gotham Medium"/>
                        </w:rPr>
                        <w:t>8</w:t>
                      </w:r>
                      <w:r w:rsidRPr="00FA7E13">
                        <w:rPr>
                          <w:rFonts w:ascii="Gotham Medium" w:hAnsi="Gotham Medium"/>
                        </w:rPr>
                        <w:t xml:space="preserve"> Nutanix, Inc.</w:t>
                      </w:r>
                    </w:p>
                    <w:p w14:paraId="75B236CB" w14:textId="77777777" w:rsidR="00A9324A" w:rsidRPr="00FA7E13" w:rsidRDefault="00A9324A" w:rsidP="00C1428A">
                      <w:pPr>
                        <w:ind w:left="720"/>
                        <w:rPr>
                          <w:rFonts w:ascii="Gotham Medium" w:hAnsi="Gotham Medium"/>
                        </w:rPr>
                      </w:pPr>
                      <w:r w:rsidRPr="00FA7E13">
                        <w:rPr>
                          <w:rFonts w:ascii="Gotham Medium" w:hAnsi="Gotham Medium"/>
                        </w:rPr>
                        <w:t>Nutanix, Inc.</w:t>
                      </w:r>
                    </w:p>
                    <w:p w14:paraId="316CB7F9" w14:textId="77777777" w:rsidR="00A9324A" w:rsidRPr="00FA7E13" w:rsidRDefault="00A9324A" w:rsidP="00C1428A">
                      <w:pPr>
                        <w:ind w:left="720"/>
                        <w:rPr>
                          <w:rFonts w:ascii="Gotham Medium" w:hAnsi="Gotham Medium"/>
                        </w:rPr>
                      </w:pPr>
                      <w:r w:rsidRPr="00FA7E13">
                        <w:rPr>
                          <w:rFonts w:ascii="Gotham Medium" w:hAnsi="Gotham Medium"/>
                        </w:rPr>
                        <w:t>1740 Technology Drive, Suite 150</w:t>
                      </w:r>
                    </w:p>
                    <w:p w14:paraId="104635BD" w14:textId="32DA97E3" w:rsidR="00A9324A" w:rsidRPr="00FA7E13" w:rsidRDefault="00A9324A" w:rsidP="00C1428A">
                      <w:pPr>
                        <w:ind w:left="720"/>
                        <w:rPr>
                          <w:rFonts w:ascii="Gotham Medium" w:hAnsi="Gotham Medium"/>
                        </w:rPr>
                      </w:pPr>
                      <w:r w:rsidRPr="00FA7E13">
                        <w:rPr>
                          <w:rFonts w:ascii="Gotham Medium" w:hAnsi="Gotham Medium"/>
                        </w:rPr>
                        <w:t>San Jose, CA 95110</w:t>
                      </w:r>
                    </w:p>
                    <w:p w14:paraId="70884B7B" w14:textId="77777777" w:rsidR="00A9324A" w:rsidRPr="00FA7E13" w:rsidRDefault="00A9324A" w:rsidP="00C1428A">
                      <w:pPr>
                        <w:rPr>
                          <w:rFonts w:ascii="Gotham Medium" w:hAnsi="Gotham Medium"/>
                        </w:rPr>
                      </w:pPr>
                      <w:r w:rsidRPr="00FA7E13">
                        <w:rPr>
                          <w:rFonts w:ascii="Gotham Medium" w:hAnsi="Gotham Medium"/>
                        </w:rPr>
                        <w:t xml:space="preserve">All rights reserved. This product is protected by U.S. and international copyright and intellectual property laws. </w:t>
                      </w:r>
                    </w:p>
                    <w:p w14:paraId="42111218" w14:textId="2D905E49" w:rsidR="00A9324A" w:rsidRPr="00FA7E13" w:rsidRDefault="00A9324A" w:rsidP="00C1428A">
                      <w:pPr>
                        <w:rPr>
                          <w:rFonts w:ascii="Gotham Medium" w:hAnsi="Gotham Medium"/>
                        </w:rPr>
                      </w:pPr>
                      <w:r w:rsidRPr="00FA7E13">
                        <w:rPr>
                          <w:rFonts w:ascii="Gotham Medium" w:hAnsi="Gotham Medium"/>
                        </w:rPr>
                        <w:t>Nutanix is a trademark of Nutanix, Inc. in the United States and/or other jurisdictions. All other marks and names mentioned herein may be trademarks of their respective companies.</w:t>
                      </w:r>
                    </w:p>
                  </w:txbxContent>
                </v:textbox>
                <w10:wrap type="square" anchorx="page" anchory="page"/>
              </v:shape>
            </w:pict>
          </mc:Fallback>
        </mc:AlternateContent>
      </w:r>
      <w:r w:rsidR="00C1428A" w:rsidRPr="00B21C75">
        <w:rPr>
          <w:rFonts w:ascii="Gotham Medium" w:hAnsi="Gotham Medium"/>
        </w:rPr>
        <w:br w:type="page"/>
      </w:r>
    </w:p>
    <w:sdt>
      <w:sdtPr>
        <w:rPr>
          <w:rFonts w:ascii="Gotham Book" w:eastAsiaTheme="minorHAnsi" w:hAnsi="Gotham Book" w:cstheme="minorBidi"/>
          <w:b w:val="0"/>
          <w:color w:val="231F20"/>
          <w:sz w:val="22"/>
          <w:szCs w:val="22"/>
        </w:rPr>
        <w:id w:val="-202555677"/>
        <w:docPartObj>
          <w:docPartGallery w:val="Table of Contents"/>
          <w:docPartUnique/>
        </w:docPartObj>
      </w:sdtPr>
      <w:sdtEndPr>
        <w:rPr>
          <w:bCs/>
          <w:noProof/>
        </w:rPr>
      </w:sdtEndPr>
      <w:sdtContent>
        <w:p w14:paraId="3DA1CD52" w14:textId="42DED752" w:rsidR="00D34BE9" w:rsidRPr="00B21C75" w:rsidRDefault="00D34BE9">
          <w:pPr>
            <w:pStyle w:val="TOCHeading"/>
          </w:pPr>
          <w:r w:rsidRPr="00B21C75">
            <w:t>Table of Contents</w:t>
          </w:r>
        </w:p>
        <w:p w14:paraId="0556ACAC" w14:textId="0E0513CC" w:rsidR="00AB1246" w:rsidRPr="00B21C75" w:rsidRDefault="00D34BE9">
          <w:pPr>
            <w:pStyle w:val="TOC1"/>
            <w:tabs>
              <w:tab w:val="right" w:leader="dot" w:pos="9350"/>
            </w:tabs>
            <w:rPr>
              <w:rFonts w:ascii="Gotham Medium" w:eastAsiaTheme="minorEastAsia" w:hAnsi="Gotham Medium" w:cstheme="minorBidi"/>
              <w:b w:val="0"/>
              <w:bCs w:val="0"/>
              <w:noProof/>
              <w:color w:val="auto"/>
              <w:lang w:val="en-IN"/>
            </w:rPr>
          </w:pPr>
          <w:r w:rsidRPr="00B21C75">
            <w:rPr>
              <w:rFonts w:ascii="Gotham Medium" w:hAnsi="Gotham Medium"/>
              <w:b w:val="0"/>
              <w:bCs w:val="0"/>
            </w:rPr>
            <w:fldChar w:fldCharType="begin"/>
          </w:r>
          <w:r w:rsidRPr="00B21C75">
            <w:rPr>
              <w:rFonts w:ascii="Gotham Medium" w:hAnsi="Gotham Medium"/>
            </w:rPr>
            <w:instrText xml:space="preserve"> TOC \o "1-3" \h \z \u </w:instrText>
          </w:r>
          <w:r w:rsidRPr="00B21C75">
            <w:rPr>
              <w:rFonts w:ascii="Gotham Medium" w:hAnsi="Gotham Medium"/>
              <w:b w:val="0"/>
              <w:bCs w:val="0"/>
            </w:rPr>
            <w:fldChar w:fldCharType="separate"/>
          </w:r>
          <w:hyperlink w:anchor="_Toc536714570" w:history="1">
            <w:r w:rsidR="00AB1246" w:rsidRPr="00B21C75">
              <w:rPr>
                <w:rStyle w:val="Hyperlink"/>
                <w:rFonts w:ascii="Gotham Medium" w:hAnsi="Gotham Medium"/>
                <w:noProof/>
              </w:rPr>
              <w:t>Executive Summary</w:t>
            </w:r>
            <w:r w:rsidR="00AB1246" w:rsidRPr="00B21C75">
              <w:rPr>
                <w:rFonts w:ascii="Gotham Medium" w:hAnsi="Gotham Medium"/>
                <w:noProof/>
                <w:webHidden/>
              </w:rPr>
              <w:tab/>
            </w:r>
            <w:r w:rsidR="00AB1246" w:rsidRPr="00B21C75">
              <w:rPr>
                <w:rFonts w:ascii="Gotham Medium" w:hAnsi="Gotham Medium"/>
                <w:noProof/>
                <w:webHidden/>
              </w:rPr>
              <w:fldChar w:fldCharType="begin"/>
            </w:r>
            <w:r w:rsidR="00AB1246" w:rsidRPr="00B21C75">
              <w:rPr>
                <w:rFonts w:ascii="Gotham Medium" w:hAnsi="Gotham Medium"/>
                <w:noProof/>
                <w:webHidden/>
              </w:rPr>
              <w:instrText xml:space="preserve"> PAGEREF _Toc536714570 \h </w:instrText>
            </w:r>
            <w:r w:rsidR="00AB1246" w:rsidRPr="00B21C75">
              <w:rPr>
                <w:rFonts w:ascii="Gotham Medium" w:hAnsi="Gotham Medium"/>
                <w:noProof/>
                <w:webHidden/>
              </w:rPr>
            </w:r>
            <w:r w:rsidR="00AB1246" w:rsidRPr="00B21C75">
              <w:rPr>
                <w:rFonts w:ascii="Gotham Medium" w:hAnsi="Gotham Medium"/>
                <w:noProof/>
                <w:webHidden/>
              </w:rPr>
              <w:fldChar w:fldCharType="separate"/>
            </w:r>
            <w:r w:rsidR="00AB1246" w:rsidRPr="00B21C75">
              <w:rPr>
                <w:rFonts w:ascii="Gotham Medium" w:hAnsi="Gotham Medium"/>
                <w:noProof/>
                <w:webHidden/>
              </w:rPr>
              <w:t>4</w:t>
            </w:r>
            <w:r w:rsidR="00AB1246" w:rsidRPr="00B21C75">
              <w:rPr>
                <w:rFonts w:ascii="Gotham Medium" w:hAnsi="Gotham Medium"/>
                <w:noProof/>
                <w:webHidden/>
              </w:rPr>
              <w:fldChar w:fldCharType="end"/>
            </w:r>
          </w:hyperlink>
        </w:p>
        <w:p w14:paraId="692AF343" w14:textId="2574E20C" w:rsidR="00AB1246" w:rsidRPr="00B21C75" w:rsidRDefault="00FD0B71">
          <w:pPr>
            <w:pStyle w:val="TOC2"/>
            <w:tabs>
              <w:tab w:val="right" w:leader="dot" w:pos="9350"/>
            </w:tabs>
            <w:rPr>
              <w:rFonts w:ascii="Gotham Medium" w:eastAsiaTheme="minorEastAsia" w:hAnsi="Gotham Medium" w:cstheme="minorBidi"/>
              <w:b w:val="0"/>
              <w:bCs w:val="0"/>
              <w:noProof/>
              <w:color w:val="auto"/>
              <w:sz w:val="24"/>
              <w:szCs w:val="24"/>
              <w:lang w:val="en-IN"/>
            </w:rPr>
          </w:pPr>
          <w:hyperlink w:anchor="_Toc536714571" w:history="1">
            <w:r w:rsidR="00AB1246" w:rsidRPr="00B21C75">
              <w:rPr>
                <w:rStyle w:val="Hyperlink"/>
                <w:rFonts w:ascii="Gotham Medium" w:hAnsi="Gotham Medium"/>
                <w:noProof/>
              </w:rPr>
              <w:t>Nutanix Enterprise Cloud Overview</w:t>
            </w:r>
            <w:r w:rsidR="00AB1246" w:rsidRPr="00B21C75">
              <w:rPr>
                <w:rFonts w:ascii="Gotham Medium" w:hAnsi="Gotham Medium"/>
                <w:noProof/>
                <w:webHidden/>
              </w:rPr>
              <w:tab/>
            </w:r>
            <w:r w:rsidR="00AB1246" w:rsidRPr="00B21C75">
              <w:rPr>
                <w:rFonts w:ascii="Gotham Medium" w:hAnsi="Gotham Medium"/>
                <w:noProof/>
                <w:webHidden/>
              </w:rPr>
              <w:fldChar w:fldCharType="begin"/>
            </w:r>
            <w:r w:rsidR="00AB1246" w:rsidRPr="00B21C75">
              <w:rPr>
                <w:rFonts w:ascii="Gotham Medium" w:hAnsi="Gotham Medium"/>
                <w:noProof/>
                <w:webHidden/>
              </w:rPr>
              <w:instrText xml:space="preserve"> PAGEREF _Toc536714571 \h </w:instrText>
            </w:r>
            <w:r w:rsidR="00AB1246" w:rsidRPr="00B21C75">
              <w:rPr>
                <w:rFonts w:ascii="Gotham Medium" w:hAnsi="Gotham Medium"/>
                <w:noProof/>
                <w:webHidden/>
              </w:rPr>
            </w:r>
            <w:r w:rsidR="00AB1246" w:rsidRPr="00B21C75">
              <w:rPr>
                <w:rFonts w:ascii="Gotham Medium" w:hAnsi="Gotham Medium"/>
                <w:noProof/>
                <w:webHidden/>
              </w:rPr>
              <w:fldChar w:fldCharType="separate"/>
            </w:r>
            <w:r w:rsidR="00AB1246" w:rsidRPr="00B21C75">
              <w:rPr>
                <w:rFonts w:ascii="Gotham Medium" w:hAnsi="Gotham Medium"/>
                <w:noProof/>
                <w:webHidden/>
              </w:rPr>
              <w:t>4</w:t>
            </w:r>
            <w:r w:rsidR="00AB1246" w:rsidRPr="00B21C75">
              <w:rPr>
                <w:rFonts w:ascii="Gotham Medium" w:hAnsi="Gotham Medium"/>
                <w:noProof/>
                <w:webHidden/>
              </w:rPr>
              <w:fldChar w:fldCharType="end"/>
            </w:r>
          </w:hyperlink>
        </w:p>
        <w:p w14:paraId="2FC34BB1" w14:textId="37A33F44" w:rsidR="00AB1246" w:rsidRPr="00B21C75" w:rsidRDefault="00FD0B71">
          <w:pPr>
            <w:pStyle w:val="TOC2"/>
            <w:tabs>
              <w:tab w:val="right" w:leader="dot" w:pos="9350"/>
            </w:tabs>
            <w:rPr>
              <w:rFonts w:ascii="Gotham Medium" w:eastAsiaTheme="minorEastAsia" w:hAnsi="Gotham Medium" w:cstheme="minorBidi"/>
              <w:b w:val="0"/>
              <w:bCs w:val="0"/>
              <w:noProof/>
              <w:color w:val="auto"/>
              <w:sz w:val="24"/>
              <w:szCs w:val="24"/>
              <w:lang w:val="en-IN"/>
            </w:rPr>
          </w:pPr>
          <w:hyperlink w:anchor="_Toc536714572" w:history="1">
            <w:r w:rsidR="00AB1246" w:rsidRPr="00B21C75">
              <w:rPr>
                <w:rStyle w:val="Hyperlink"/>
                <w:rFonts w:ascii="Gotham Medium" w:hAnsi="Gotham Medium"/>
                <w:noProof/>
              </w:rPr>
              <w:t>Distributed Storage Fabric</w:t>
            </w:r>
            <w:r w:rsidR="00AB1246" w:rsidRPr="00B21C75">
              <w:rPr>
                <w:rFonts w:ascii="Gotham Medium" w:hAnsi="Gotham Medium"/>
                <w:noProof/>
                <w:webHidden/>
              </w:rPr>
              <w:tab/>
            </w:r>
            <w:r w:rsidR="00AB1246" w:rsidRPr="00B21C75">
              <w:rPr>
                <w:rFonts w:ascii="Gotham Medium" w:hAnsi="Gotham Medium"/>
                <w:noProof/>
                <w:webHidden/>
              </w:rPr>
              <w:fldChar w:fldCharType="begin"/>
            </w:r>
            <w:r w:rsidR="00AB1246" w:rsidRPr="00B21C75">
              <w:rPr>
                <w:rFonts w:ascii="Gotham Medium" w:hAnsi="Gotham Medium"/>
                <w:noProof/>
                <w:webHidden/>
              </w:rPr>
              <w:instrText xml:space="preserve"> PAGEREF _Toc536714572 \h </w:instrText>
            </w:r>
            <w:r w:rsidR="00AB1246" w:rsidRPr="00B21C75">
              <w:rPr>
                <w:rFonts w:ascii="Gotham Medium" w:hAnsi="Gotham Medium"/>
                <w:noProof/>
                <w:webHidden/>
              </w:rPr>
            </w:r>
            <w:r w:rsidR="00AB1246" w:rsidRPr="00B21C75">
              <w:rPr>
                <w:rFonts w:ascii="Gotham Medium" w:hAnsi="Gotham Medium"/>
                <w:noProof/>
                <w:webHidden/>
              </w:rPr>
              <w:fldChar w:fldCharType="separate"/>
            </w:r>
            <w:r w:rsidR="00AB1246" w:rsidRPr="00B21C75">
              <w:rPr>
                <w:rFonts w:ascii="Gotham Medium" w:hAnsi="Gotham Medium"/>
                <w:noProof/>
                <w:webHidden/>
              </w:rPr>
              <w:t>4</w:t>
            </w:r>
            <w:r w:rsidR="00AB1246" w:rsidRPr="00B21C75">
              <w:rPr>
                <w:rFonts w:ascii="Gotham Medium" w:hAnsi="Gotham Medium"/>
                <w:noProof/>
                <w:webHidden/>
              </w:rPr>
              <w:fldChar w:fldCharType="end"/>
            </w:r>
          </w:hyperlink>
        </w:p>
        <w:p w14:paraId="723B813E" w14:textId="04FD09ED" w:rsidR="00AB1246" w:rsidRPr="00B21C75" w:rsidRDefault="00FD0B71">
          <w:pPr>
            <w:pStyle w:val="TOC2"/>
            <w:tabs>
              <w:tab w:val="right" w:leader="dot" w:pos="9350"/>
            </w:tabs>
            <w:rPr>
              <w:rFonts w:ascii="Gotham Medium" w:eastAsiaTheme="minorEastAsia" w:hAnsi="Gotham Medium" w:cstheme="minorBidi"/>
              <w:b w:val="0"/>
              <w:bCs w:val="0"/>
              <w:noProof/>
              <w:color w:val="auto"/>
              <w:sz w:val="24"/>
              <w:szCs w:val="24"/>
              <w:lang w:val="en-IN"/>
            </w:rPr>
          </w:pPr>
          <w:hyperlink w:anchor="_Toc536714573" w:history="1">
            <w:r w:rsidR="00AB1246" w:rsidRPr="00B21C75">
              <w:rPr>
                <w:rStyle w:val="Hyperlink"/>
                <w:rFonts w:ascii="Gotham Medium" w:hAnsi="Gotham Medium"/>
                <w:noProof/>
              </w:rPr>
              <w:t>App Mobility Fabric</w:t>
            </w:r>
            <w:r w:rsidR="00AB1246" w:rsidRPr="00B21C75">
              <w:rPr>
                <w:rFonts w:ascii="Gotham Medium" w:hAnsi="Gotham Medium"/>
                <w:noProof/>
                <w:webHidden/>
              </w:rPr>
              <w:tab/>
            </w:r>
            <w:r w:rsidR="00AB1246" w:rsidRPr="00B21C75">
              <w:rPr>
                <w:rFonts w:ascii="Gotham Medium" w:hAnsi="Gotham Medium"/>
                <w:noProof/>
                <w:webHidden/>
              </w:rPr>
              <w:fldChar w:fldCharType="begin"/>
            </w:r>
            <w:r w:rsidR="00AB1246" w:rsidRPr="00B21C75">
              <w:rPr>
                <w:rFonts w:ascii="Gotham Medium" w:hAnsi="Gotham Medium"/>
                <w:noProof/>
                <w:webHidden/>
              </w:rPr>
              <w:instrText xml:space="preserve"> PAGEREF _Toc536714573 \h </w:instrText>
            </w:r>
            <w:r w:rsidR="00AB1246" w:rsidRPr="00B21C75">
              <w:rPr>
                <w:rFonts w:ascii="Gotham Medium" w:hAnsi="Gotham Medium"/>
                <w:noProof/>
                <w:webHidden/>
              </w:rPr>
            </w:r>
            <w:r w:rsidR="00AB1246" w:rsidRPr="00B21C75">
              <w:rPr>
                <w:rFonts w:ascii="Gotham Medium" w:hAnsi="Gotham Medium"/>
                <w:noProof/>
                <w:webHidden/>
              </w:rPr>
              <w:fldChar w:fldCharType="separate"/>
            </w:r>
            <w:r w:rsidR="00AB1246" w:rsidRPr="00B21C75">
              <w:rPr>
                <w:rFonts w:ascii="Gotham Medium" w:hAnsi="Gotham Medium"/>
                <w:noProof/>
                <w:webHidden/>
              </w:rPr>
              <w:t>5</w:t>
            </w:r>
            <w:r w:rsidR="00AB1246" w:rsidRPr="00B21C75">
              <w:rPr>
                <w:rFonts w:ascii="Gotham Medium" w:hAnsi="Gotham Medium"/>
                <w:noProof/>
                <w:webHidden/>
              </w:rPr>
              <w:fldChar w:fldCharType="end"/>
            </w:r>
          </w:hyperlink>
        </w:p>
        <w:p w14:paraId="6FDA0D59" w14:textId="38018D9D" w:rsidR="00AB1246" w:rsidRPr="00B21C75" w:rsidRDefault="00FD0B71">
          <w:pPr>
            <w:pStyle w:val="TOC2"/>
            <w:tabs>
              <w:tab w:val="right" w:leader="dot" w:pos="9350"/>
            </w:tabs>
            <w:rPr>
              <w:rFonts w:ascii="Gotham Medium" w:eastAsiaTheme="minorEastAsia" w:hAnsi="Gotham Medium" w:cstheme="minorBidi"/>
              <w:b w:val="0"/>
              <w:bCs w:val="0"/>
              <w:noProof/>
              <w:color w:val="auto"/>
              <w:sz w:val="24"/>
              <w:szCs w:val="24"/>
              <w:lang w:val="en-IN"/>
            </w:rPr>
          </w:pPr>
          <w:hyperlink w:anchor="_Toc536714574" w:history="1">
            <w:r w:rsidR="00AB1246" w:rsidRPr="00B21C75">
              <w:rPr>
                <w:rStyle w:val="Hyperlink"/>
                <w:rFonts w:ascii="Gotham Medium" w:hAnsi="Gotham Medium"/>
                <w:noProof/>
              </w:rPr>
              <w:t>AHV</w:t>
            </w:r>
            <w:r w:rsidR="00AB1246" w:rsidRPr="00B21C75">
              <w:rPr>
                <w:rFonts w:ascii="Gotham Medium" w:hAnsi="Gotham Medium"/>
                <w:noProof/>
                <w:webHidden/>
              </w:rPr>
              <w:tab/>
            </w:r>
            <w:r w:rsidR="00AB1246" w:rsidRPr="00B21C75">
              <w:rPr>
                <w:rFonts w:ascii="Gotham Medium" w:hAnsi="Gotham Medium"/>
                <w:noProof/>
                <w:webHidden/>
              </w:rPr>
              <w:fldChar w:fldCharType="begin"/>
            </w:r>
            <w:r w:rsidR="00AB1246" w:rsidRPr="00B21C75">
              <w:rPr>
                <w:rFonts w:ascii="Gotham Medium" w:hAnsi="Gotham Medium"/>
                <w:noProof/>
                <w:webHidden/>
              </w:rPr>
              <w:instrText xml:space="preserve"> PAGEREF _Toc536714574 \h </w:instrText>
            </w:r>
            <w:r w:rsidR="00AB1246" w:rsidRPr="00B21C75">
              <w:rPr>
                <w:rFonts w:ascii="Gotham Medium" w:hAnsi="Gotham Medium"/>
                <w:noProof/>
                <w:webHidden/>
              </w:rPr>
            </w:r>
            <w:r w:rsidR="00AB1246" w:rsidRPr="00B21C75">
              <w:rPr>
                <w:rFonts w:ascii="Gotham Medium" w:hAnsi="Gotham Medium"/>
                <w:noProof/>
                <w:webHidden/>
              </w:rPr>
              <w:fldChar w:fldCharType="separate"/>
            </w:r>
            <w:r w:rsidR="00AB1246" w:rsidRPr="00B21C75">
              <w:rPr>
                <w:rFonts w:ascii="Gotham Medium" w:hAnsi="Gotham Medium"/>
                <w:noProof/>
                <w:webHidden/>
              </w:rPr>
              <w:t>5</w:t>
            </w:r>
            <w:r w:rsidR="00AB1246" w:rsidRPr="00B21C75">
              <w:rPr>
                <w:rFonts w:ascii="Gotham Medium" w:hAnsi="Gotham Medium"/>
                <w:noProof/>
                <w:webHidden/>
              </w:rPr>
              <w:fldChar w:fldCharType="end"/>
            </w:r>
          </w:hyperlink>
        </w:p>
        <w:p w14:paraId="1B3F09D8" w14:textId="708E21C7" w:rsidR="00AB1246" w:rsidRPr="00B21C75" w:rsidRDefault="00FD0B71">
          <w:pPr>
            <w:pStyle w:val="TOC2"/>
            <w:tabs>
              <w:tab w:val="right" w:leader="dot" w:pos="9350"/>
            </w:tabs>
            <w:rPr>
              <w:rFonts w:ascii="Gotham Medium" w:eastAsiaTheme="minorEastAsia" w:hAnsi="Gotham Medium" w:cstheme="minorBidi"/>
              <w:b w:val="0"/>
              <w:bCs w:val="0"/>
              <w:noProof/>
              <w:color w:val="auto"/>
              <w:sz w:val="24"/>
              <w:szCs w:val="24"/>
              <w:lang w:val="en-IN"/>
            </w:rPr>
          </w:pPr>
          <w:hyperlink w:anchor="_Toc536714575" w:history="1">
            <w:r w:rsidR="00AB1246" w:rsidRPr="00B21C75">
              <w:rPr>
                <w:rStyle w:val="Hyperlink"/>
                <w:rFonts w:ascii="Gotham Medium" w:hAnsi="Gotham Medium"/>
                <w:noProof/>
              </w:rPr>
              <w:t>Nutanix Acropolis Architecture</w:t>
            </w:r>
            <w:r w:rsidR="00AB1246" w:rsidRPr="00B21C75">
              <w:rPr>
                <w:rFonts w:ascii="Gotham Medium" w:hAnsi="Gotham Medium"/>
                <w:noProof/>
                <w:webHidden/>
              </w:rPr>
              <w:tab/>
            </w:r>
            <w:r w:rsidR="00AB1246" w:rsidRPr="00B21C75">
              <w:rPr>
                <w:rFonts w:ascii="Gotham Medium" w:hAnsi="Gotham Medium"/>
                <w:noProof/>
                <w:webHidden/>
              </w:rPr>
              <w:fldChar w:fldCharType="begin"/>
            </w:r>
            <w:r w:rsidR="00AB1246" w:rsidRPr="00B21C75">
              <w:rPr>
                <w:rFonts w:ascii="Gotham Medium" w:hAnsi="Gotham Medium"/>
                <w:noProof/>
                <w:webHidden/>
              </w:rPr>
              <w:instrText xml:space="preserve"> PAGEREF _Toc536714575 \h </w:instrText>
            </w:r>
            <w:r w:rsidR="00AB1246" w:rsidRPr="00B21C75">
              <w:rPr>
                <w:rFonts w:ascii="Gotham Medium" w:hAnsi="Gotham Medium"/>
                <w:noProof/>
                <w:webHidden/>
              </w:rPr>
            </w:r>
            <w:r w:rsidR="00AB1246" w:rsidRPr="00B21C75">
              <w:rPr>
                <w:rFonts w:ascii="Gotham Medium" w:hAnsi="Gotham Medium"/>
                <w:noProof/>
                <w:webHidden/>
              </w:rPr>
              <w:fldChar w:fldCharType="separate"/>
            </w:r>
            <w:r w:rsidR="00AB1246" w:rsidRPr="00B21C75">
              <w:rPr>
                <w:rFonts w:ascii="Gotham Medium" w:hAnsi="Gotham Medium"/>
                <w:noProof/>
                <w:webHidden/>
              </w:rPr>
              <w:t>5</w:t>
            </w:r>
            <w:r w:rsidR="00AB1246" w:rsidRPr="00B21C75">
              <w:rPr>
                <w:rFonts w:ascii="Gotham Medium" w:hAnsi="Gotham Medium"/>
                <w:noProof/>
                <w:webHidden/>
              </w:rPr>
              <w:fldChar w:fldCharType="end"/>
            </w:r>
          </w:hyperlink>
        </w:p>
        <w:p w14:paraId="5C695658" w14:textId="2596C79C" w:rsidR="00AB1246" w:rsidRPr="00B21C75" w:rsidRDefault="00FD0B71">
          <w:pPr>
            <w:pStyle w:val="TOC2"/>
            <w:tabs>
              <w:tab w:val="right" w:leader="dot" w:pos="9350"/>
            </w:tabs>
            <w:rPr>
              <w:rFonts w:ascii="Gotham Medium" w:eastAsiaTheme="minorEastAsia" w:hAnsi="Gotham Medium" w:cstheme="minorBidi"/>
              <w:b w:val="0"/>
              <w:bCs w:val="0"/>
              <w:noProof/>
              <w:color w:val="auto"/>
              <w:sz w:val="24"/>
              <w:szCs w:val="24"/>
              <w:lang w:val="en-IN"/>
            </w:rPr>
          </w:pPr>
          <w:hyperlink w:anchor="_Toc536714576" w:history="1">
            <w:r w:rsidR="00AB1246" w:rsidRPr="00B21C75">
              <w:rPr>
                <w:rStyle w:val="Hyperlink"/>
                <w:rFonts w:ascii="Gotham Medium" w:hAnsi="Gotham Medium"/>
                <w:noProof/>
              </w:rPr>
              <w:t>Field Installation Using Nutanix Foundation</w:t>
            </w:r>
            <w:r w:rsidR="00AB1246" w:rsidRPr="00B21C75">
              <w:rPr>
                <w:rFonts w:ascii="Gotham Medium" w:hAnsi="Gotham Medium"/>
                <w:noProof/>
                <w:webHidden/>
              </w:rPr>
              <w:tab/>
            </w:r>
            <w:r w:rsidR="00AB1246" w:rsidRPr="00B21C75">
              <w:rPr>
                <w:rFonts w:ascii="Gotham Medium" w:hAnsi="Gotham Medium"/>
                <w:noProof/>
                <w:webHidden/>
              </w:rPr>
              <w:fldChar w:fldCharType="begin"/>
            </w:r>
            <w:r w:rsidR="00AB1246" w:rsidRPr="00B21C75">
              <w:rPr>
                <w:rFonts w:ascii="Gotham Medium" w:hAnsi="Gotham Medium"/>
                <w:noProof/>
                <w:webHidden/>
              </w:rPr>
              <w:instrText xml:space="preserve"> PAGEREF _Toc536714576 \h </w:instrText>
            </w:r>
            <w:r w:rsidR="00AB1246" w:rsidRPr="00B21C75">
              <w:rPr>
                <w:rFonts w:ascii="Gotham Medium" w:hAnsi="Gotham Medium"/>
                <w:noProof/>
                <w:webHidden/>
              </w:rPr>
            </w:r>
            <w:r w:rsidR="00AB1246" w:rsidRPr="00B21C75">
              <w:rPr>
                <w:rFonts w:ascii="Gotham Medium" w:hAnsi="Gotham Medium"/>
                <w:noProof/>
                <w:webHidden/>
              </w:rPr>
              <w:fldChar w:fldCharType="separate"/>
            </w:r>
            <w:r w:rsidR="00AB1246" w:rsidRPr="00B21C75">
              <w:rPr>
                <w:rFonts w:ascii="Gotham Medium" w:hAnsi="Gotham Medium"/>
                <w:noProof/>
                <w:webHidden/>
              </w:rPr>
              <w:t>5</w:t>
            </w:r>
            <w:r w:rsidR="00AB1246" w:rsidRPr="00B21C75">
              <w:rPr>
                <w:rFonts w:ascii="Gotham Medium" w:hAnsi="Gotham Medium"/>
                <w:noProof/>
                <w:webHidden/>
              </w:rPr>
              <w:fldChar w:fldCharType="end"/>
            </w:r>
          </w:hyperlink>
        </w:p>
        <w:p w14:paraId="034E84F4" w14:textId="02F17D0A" w:rsidR="00D34BE9" w:rsidRPr="00B21C75" w:rsidRDefault="00D34BE9">
          <w:pPr>
            <w:rPr>
              <w:rFonts w:ascii="Gotham Medium" w:hAnsi="Gotham Medium"/>
              <w:bCs/>
              <w:noProof/>
            </w:rPr>
          </w:pPr>
          <w:r w:rsidRPr="00B21C75">
            <w:rPr>
              <w:rFonts w:ascii="Gotham Medium" w:hAnsi="Gotham Medium"/>
              <w:b/>
              <w:bCs/>
              <w:noProof/>
            </w:rPr>
            <w:fldChar w:fldCharType="end"/>
          </w:r>
        </w:p>
      </w:sdtContent>
    </w:sdt>
    <w:p w14:paraId="3304250B" w14:textId="6C8DF6F2" w:rsidR="00DB00F4" w:rsidRPr="00B21C75" w:rsidRDefault="00DB00F4">
      <w:pPr>
        <w:rPr>
          <w:rFonts w:ascii="Gotham Medium" w:hAnsi="Gotham Medium"/>
        </w:rPr>
      </w:pPr>
    </w:p>
    <w:p w14:paraId="5436D55B" w14:textId="3C1C1331" w:rsidR="00DB00F4" w:rsidRPr="00B21C75" w:rsidRDefault="00E30550" w:rsidP="001D648E">
      <w:pPr>
        <w:spacing w:before="0" w:after="160"/>
        <w:ind w:left="0"/>
        <w:rPr>
          <w:rFonts w:ascii="Gotham Medium" w:hAnsi="Gotham Medium"/>
        </w:rPr>
      </w:pPr>
      <w:r w:rsidRPr="00B21C75">
        <w:rPr>
          <w:rFonts w:ascii="Gotham Medium" w:hAnsi="Gotham Medium"/>
        </w:rPr>
        <w:br w:type="page"/>
      </w:r>
    </w:p>
    <w:p w14:paraId="1D8F15B9" w14:textId="77777777" w:rsidR="00AB1246" w:rsidRPr="00B21C75" w:rsidRDefault="00AB1246" w:rsidP="00AB1246">
      <w:pPr>
        <w:pStyle w:val="Heading1"/>
      </w:pPr>
      <w:bookmarkStart w:id="1" w:name="_Toc453083859"/>
      <w:bookmarkStart w:id="2" w:name="_Toc460871514"/>
      <w:bookmarkStart w:id="3" w:name="_Toc460871555"/>
      <w:bookmarkStart w:id="4" w:name="_Toc535580071"/>
      <w:bookmarkStart w:id="5" w:name="_Toc536714570"/>
      <w:r w:rsidRPr="00B21C75">
        <w:lastRenderedPageBreak/>
        <w:t>Executive Summary</w:t>
      </w:r>
      <w:bookmarkEnd w:id="1"/>
      <w:bookmarkEnd w:id="2"/>
      <w:bookmarkEnd w:id="3"/>
      <w:bookmarkEnd w:id="4"/>
      <w:bookmarkEnd w:id="5"/>
    </w:p>
    <w:p w14:paraId="1541219E" w14:textId="77777777" w:rsidR="00AB1246" w:rsidRPr="00B21C75" w:rsidRDefault="00AB1246" w:rsidP="00AB1246">
      <w:pPr>
        <w:pStyle w:val="NutanixHeading2"/>
      </w:pPr>
      <w:bookmarkStart w:id="6" w:name="_Toc535580072"/>
      <w:bookmarkStart w:id="7" w:name="_Toc536714571"/>
      <w:bookmarkStart w:id="8" w:name="_Toc453083860"/>
      <w:r w:rsidRPr="00B21C75">
        <w:t>Nutanix Enterprise Cloud Overview</w:t>
      </w:r>
      <w:bookmarkEnd w:id="6"/>
      <w:bookmarkEnd w:id="7"/>
    </w:p>
    <w:p w14:paraId="7EB361D8" w14:textId="77777777" w:rsidR="00AB1246" w:rsidRPr="00B21C75" w:rsidRDefault="00AB1246" w:rsidP="00AB1246">
      <w:pPr>
        <w:rPr>
          <w:rFonts w:ascii="Gotham Medium" w:hAnsi="Gotham Medium"/>
        </w:rPr>
      </w:pPr>
      <w:r w:rsidRPr="00B21C75">
        <w:rPr>
          <w:rFonts w:ascii="Gotham Medium" w:hAnsi="Gotham Medium"/>
        </w:rPr>
        <w:t xml:space="preserve">Nutanix delivers a web-scale, hyperconverged infrastructure solution purpose-built for virtualization and cloud environments. This solution brings the scale, </w:t>
      </w:r>
      <w:hyperlink r:id="rId12" w:history="1">
        <w:r w:rsidRPr="00B21C75">
          <w:rPr>
            <w:rStyle w:val="Hyperlink"/>
            <w:rFonts w:ascii="Gotham Medium" w:eastAsiaTheme="majorEastAsia" w:hAnsi="Gotham Medium" w:cstheme="majorBidi"/>
          </w:rPr>
          <w:t>resilience</w:t>
        </w:r>
      </w:hyperlink>
      <w:r w:rsidRPr="00B21C75">
        <w:rPr>
          <w:rFonts w:ascii="Gotham Medium" w:hAnsi="Gotham Medium"/>
        </w:rPr>
        <w:t>, and economic benefits of web-scale architecture to the enterprise through the Nutanix Enterprise Cloud Platform, which combines three product families—Nutanix Acropolis, Nutanix Prism, and Nutanix Calm.</w:t>
      </w:r>
    </w:p>
    <w:p w14:paraId="42BD8531" w14:textId="77777777" w:rsidR="00AB1246" w:rsidRPr="00B21C75" w:rsidRDefault="00AB1246" w:rsidP="00AB1246">
      <w:pPr>
        <w:rPr>
          <w:rFonts w:ascii="Gotham Medium" w:hAnsi="Gotham Medium"/>
        </w:rPr>
      </w:pPr>
      <w:r w:rsidRPr="00B21C75">
        <w:rPr>
          <w:rFonts w:ascii="Gotham Medium" w:hAnsi="Gotham Medium"/>
        </w:rPr>
        <w:t>Attributes of this Enterprise Cloud OS include:</w:t>
      </w:r>
    </w:p>
    <w:p w14:paraId="7BAB8E07" w14:textId="77777777"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Optimized for storage and compute resources.</w:t>
      </w:r>
    </w:p>
    <w:p w14:paraId="7F748B97" w14:textId="77777777"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Machine learning to plan for and adapt to changing conditions automatically.</w:t>
      </w:r>
    </w:p>
    <w:p w14:paraId="351C132C" w14:textId="77777777"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Self-healing to tolerate and adjust to component failures.</w:t>
      </w:r>
    </w:p>
    <w:p w14:paraId="11184771" w14:textId="77777777"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API-based automation and rich analytics.</w:t>
      </w:r>
    </w:p>
    <w:p w14:paraId="6B798653" w14:textId="77777777"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Simplified one-click upgrade.</w:t>
      </w:r>
    </w:p>
    <w:p w14:paraId="30231AE9" w14:textId="77777777"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Native file services for user and application data.</w:t>
      </w:r>
    </w:p>
    <w:p w14:paraId="4DCC20C1" w14:textId="77777777"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Native backup and disaster recovery solutions.</w:t>
      </w:r>
    </w:p>
    <w:p w14:paraId="2B116A3A" w14:textId="77777777"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 xml:space="preserve">Powerful and feature-rich virtualization. </w:t>
      </w:r>
    </w:p>
    <w:p w14:paraId="5624EBF1" w14:textId="77777777"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Flexible software-defined networking for visualization, automation, and security.</w:t>
      </w:r>
    </w:p>
    <w:p w14:paraId="617C5138" w14:textId="77777777" w:rsidR="00AB1246" w:rsidRPr="00B21C75" w:rsidRDefault="00AB1246" w:rsidP="00AB1246">
      <w:pPr>
        <w:pStyle w:val="ListParagraph"/>
        <w:numPr>
          <w:ilvl w:val="0"/>
          <w:numId w:val="14"/>
        </w:numPr>
        <w:rPr>
          <w:rFonts w:ascii="Gotham Medium" w:hAnsi="Gotham Medium"/>
        </w:rPr>
      </w:pPr>
      <w:r w:rsidRPr="00B21C75">
        <w:rPr>
          <w:rFonts w:ascii="Gotham Medium" w:hAnsi="Gotham Medium"/>
        </w:rPr>
        <w:t>Cloud automation and life cycle management.</w:t>
      </w:r>
    </w:p>
    <w:p w14:paraId="7944B4EC" w14:textId="77777777" w:rsidR="00AB1246" w:rsidRPr="00B21C75" w:rsidRDefault="00AB1246" w:rsidP="00AB1246">
      <w:pPr>
        <w:rPr>
          <w:rFonts w:ascii="Gotham Medium" w:hAnsi="Gotham Medium"/>
        </w:rPr>
      </w:pPr>
      <w:r w:rsidRPr="00B21C75">
        <w:rPr>
          <w:rFonts w:ascii="Gotham Medium" w:hAnsi="Gotham Medium"/>
        </w:rPr>
        <w:t xml:space="preserve">Nutanix Acropolis provides data services and can be broken down into three foundational components: </w:t>
      </w:r>
      <w:proofErr w:type="gramStart"/>
      <w:r w:rsidRPr="00B21C75">
        <w:rPr>
          <w:rFonts w:ascii="Gotham Medium" w:hAnsi="Gotham Medium"/>
        </w:rPr>
        <w:t>the</w:t>
      </w:r>
      <w:proofErr w:type="gramEnd"/>
      <w:r w:rsidRPr="00B21C75">
        <w:rPr>
          <w:rFonts w:ascii="Gotham Medium" w:hAnsi="Gotham Medium"/>
        </w:rPr>
        <w:t xml:space="preserve"> Distributed Storage Fabric (DSF), the App Mobility Fabric (AMF), and AHV. Prism furnishes one-click infrastructure management for virtual environments running on Acropolis. Acropolis is hypervisor agnostic, supporting three third-party hypervisors—</w:t>
      </w:r>
      <w:proofErr w:type="spellStart"/>
      <w:r w:rsidRPr="00B21C75">
        <w:rPr>
          <w:rFonts w:ascii="Gotham Medium" w:hAnsi="Gotham Medium"/>
        </w:rPr>
        <w:t>ESXi</w:t>
      </w:r>
      <w:proofErr w:type="spellEnd"/>
      <w:r w:rsidRPr="00B21C75">
        <w:rPr>
          <w:rFonts w:ascii="Gotham Medium" w:hAnsi="Gotham Medium"/>
        </w:rPr>
        <w:t>, Hyper-V, and Citrix Hypervisor—in addition to the native Nutanix hypervisor, AHV.</w:t>
      </w:r>
    </w:p>
    <w:p w14:paraId="5BDDAAEF" w14:textId="77777777" w:rsidR="00AB1246" w:rsidRPr="00B21C75" w:rsidRDefault="00AB1246" w:rsidP="00AB1246">
      <w:pPr>
        <w:jc w:val="center"/>
        <w:rPr>
          <w:rFonts w:ascii="Gotham Medium" w:hAnsi="Gotham Medium"/>
        </w:rPr>
      </w:pPr>
      <w:r w:rsidRPr="00B21C75">
        <w:rPr>
          <w:rFonts w:ascii="Gotham Medium" w:hAnsi="Gotham Medium"/>
          <w:noProof/>
        </w:rPr>
        <w:drawing>
          <wp:inline distT="0" distB="0" distL="0" distR="0" wp14:anchorId="57CEA73F" wp14:editId="2DF2F401">
            <wp:extent cx="3877875" cy="145611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7875" cy="1456119"/>
                    </a:xfrm>
                    <a:prstGeom prst="rect">
                      <a:avLst/>
                    </a:prstGeom>
                  </pic:spPr>
                </pic:pic>
              </a:graphicData>
            </a:graphic>
          </wp:inline>
        </w:drawing>
      </w:r>
    </w:p>
    <w:p w14:paraId="61F36D90" w14:textId="77777777" w:rsidR="00AB1246" w:rsidRPr="00B21C75" w:rsidRDefault="00AB1246" w:rsidP="00AB1246">
      <w:pPr>
        <w:jc w:val="center"/>
        <w:rPr>
          <w:rFonts w:ascii="Gotham Medium" w:hAnsi="Gotham Medium" w:cs="Calibri"/>
          <w:i/>
          <w:iCs/>
          <w:sz w:val="18"/>
          <w:szCs w:val="18"/>
        </w:rPr>
      </w:pPr>
      <w:r w:rsidRPr="00B21C75">
        <w:rPr>
          <w:rFonts w:ascii="Gotham Medium" w:hAnsi="Gotham Medium" w:cs="Calibri"/>
          <w:i/>
          <w:iCs/>
          <w:sz w:val="18"/>
          <w:szCs w:val="18"/>
        </w:rPr>
        <w:t xml:space="preserve">Figure </w:t>
      </w:r>
      <w:r w:rsidRPr="00B21C75">
        <w:rPr>
          <w:rFonts w:ascii="Gotham Medium" w:hAnsi="Gotham Medium" w:cs="Calibri"/>
          <w:i/>
          <w:iCs/>
          <w:sz w:val="18"/>
          <w:szCs w:val="18"/>
        </w:rPr>
        <w:fldChar w:fldCharType="begin"/>
      </w:r>
      <w:r w:rsidRPr="00B21C75">
        <w:rPr>
          <w:rFonts w:ascii="Gotham Medium" w:hAnsi="Gotham Medium" w:cs="Calibri"/>
          <w:i/>
          <w:iCs/>
          <w:sz w:val="18"/>
          <w:szCs w:val="18"/>
        </w:rPr>
        <w:instrText xml:space="preserve"> SEQ Figure \* ARABIC </w:instrText>
      </w:r>
      <w:r w:rsidRPr="00B21C75">
        <w:rPr>
          <w:rFonts w:ascii="Gotham Medium" w:hAnsi="Gotham Medium" w:cs="Calibri"/>
          <w:i/>
          <w:iCs/>
          <w:sz w:val="18"/>
          <w:szCs w:val="18"/>
        </w:rPr>
        <w:fldChar w:fldCharType="separate"/>
      </w:r>
      <w:r w:rsidRPr="00B21C75">
        <w:rPr>
          <w:rFonts w:ascii="Gotham Medium" w:hAnsi="Gotham Medium" w:cs="Calibri"/>
          <w:i/>
          <w:iCs/>
          <w:sz w:val="18"/>
          <w:szCs w:val="18"/>
        </w:rPr>
        <w:t>1</w:t>
      </w:r>
      <w:r w:rsidRPr="00B21C75">
        <w:rPr>
          <w:rFonts w:ascii="Gotham Medium" w:hAnsi="Gotham Medium" w:cs="Calibri"/>
          <w:i/>
          <w:sz w:val="18"/>
          <w:szCs w:val="18"/>
        </w:rPr>
        <w:fldChar w:fldCharType="end"/>
      </w:r>
      <w:r w:rsidRPr="00B21C75">
        <w:rPr>
          <w:rFonts w:ascii="Gotham Medium" w:hAnsi="Gotham Medium" w:cs="Calibri"/>
          <w:i/>
          <w:iCs/>
          <w:sz w:val="18"/>
          <w:szCs w:val="18"/>
        </w:rPr>
        <w:t xml:space="preserve"> Nutanix Enterprise Cloud</w:t>
      </w:r>
    </w:p>
    <w:p w14:paraId="52BF05E0" w14:textId="77777777" w:rsidR="00AB1246" w:rsidRPr="00B21C75" w:rsidRDefault="00AB1246" w:rsidP="00AB1246">
      <w:pPr>
        <w:pStyle w:val="NutanixHeading2"/>
      </w:pPr>
      <w:bookmarkStart w:id="9" w:name="_Toc535580073"/>
      <w:bookmarkStart w:id="10" w:name="_Toc536714572"/>
      <w:r w:rsidRPr="00B21C75">
        <w:lastRenderedPageBreak/>
        <w:t>Distributed Storage Fabric</w:t>
      </w:r>
      <w:bookmarkEnd w:id="9"/>
      <w:bookmarkEnd w:id="10"/>
      <w:r w:rsidRPr="00B21C75">
        <w:t xml:space="preserve"> </w:t>
      </w:r>
    </w:p>
    <w:p w14:paraId="0551570B" w14:textId="77777777" w:rsidR="00AB1246" w:rsidRPr="00B21C75" w:rsidRDefault="00AB1246" w:rsidP="00AB1246">
      <w:pPr>
        <w:rPr>
          <w:rFonts w:ascii="Gotham Medium" w:hAnsi="Gotham Medium"/>
        </w:rPr>
      </w:pPr>
      <w:r w:rsidRPr="00B21C75">
        <w:rPr>
          <w:rFonts w:ascii="Gotham Medium" w:hAnsi="Gotham Medium"/>
        </w:rPr>
        <w:t xml:space="preserve">The Distributed Storage Fabric (DSF) delivers enterprise data storage as an on-demand service by employing a highly distributed software architecture. Nutanix eliminates the need for traditional SAN and NAS solutions while delivering a rich set of VM-centric software-defined services. Specifically, the DSF handles the data path of such features as snapshots, clones, high availability, disaster recovery, deduplication, compression, and erasure coding. </w:t>
      </w:r>
    </w:p>
    <w:p w14:paraId="1C84ED5B" w14:textId="77777777" w:rsidR="00AB1246" w:rsidRPr="00B21C75" w:rsidRDefault="00AB1246" w:rsidP="00AB1246">
      <w:pPr>
        <w:rPr>
          <w:rFonts w:ascii="Gotham Medium" w:hAnsi="Gotham Medium"/>
        </w:rPr>
      </w:pPr>
      <w:r w:rsidRPr="00B21C75">
        <w:rPr>
          <w:rFonts w:ascii="Gotham Medium" w:hAnsi="Gotham Medium"/>
        </w:rPr>
        <w:t xml:space="preserve">The DSF operates via an interconnected network of Controller VMs (CVMs) that form a Nutanix cluster, and every node in the cluster has access to data from shared SSD, HDD, and cloud resources. The hypervisors and the DSF communicate using the industry-standard NFS, iSCSI, and SMB3 protocols. </w:t>
      </w:r>
    </w:p>
    <w:p w14:paraId="329283EA" w14:textId="77777777" w:rsidR="00AB1246" w:rsidRPr="00B21C75" w:rsidRDefault="00AB1246" w:rsidP="00AB1246">
      <w:pPr>
        <w:pStyle w:val="NutanixHeading2"/>
      </w:pPr>
      <w:bookmarkStart w:id="11" w:name="_Toc431824181"/>
      <w:bookmarkStart w:id="12" w:name="_Toc432152498"/>
      <w:bookmarkStart w:id="13" w:name="_Toc433722264"/>
      <w:bookmarkStart w:id="14" w:name="_Toc438631598"/>
      <w:bookmarkStart w:id="15" w:name="_Toc438632182"/>
      <w:bookmarkStart w:id="16" w:name="_Toc448219040"/>
      <w:bookmarkStart w:id="17" w:name="_Toc460871517"/>
      <w:bookmarkStart w:id="18" w:name="_Toc460871558"/>
      <w:bookmarkStart w:id="19" w:name="_Toc535580074"/>
      <w:bookmarkStart w:id="20" w:name="_Toc536714573"/>
      <w:r w:rsidRPr="00B21C75">
        <w:t>App Mobility Fabric</w:t>
      </w:r>
      <w:bookmarkEnd w:id="11"/>
      <w:bookmarkEnd w:id="12"/>
      <w:bookmarkEnd w:id="13"/>
      <w:bookmarkEnd w:id="14"/>
      <w:bookmarkEnd w:id="15"/>
      <w:bookmarkEnd w:id="16"/>
      <w:bookmarkEnd w:id="17"/>
      <w:bookmarkEnd w:id="18"/>
      <w:bookmarkEnd w:id="19"/>
      <w:bookmarkEnd w:id="20"/>
      <w:r w:rsidRPr="00B21C75">
        <w:t xml:space="preserve"> </w:t>
      </w:r>
    </w:p>
    <w:p w14:paraId="39DB8944" w14:textId="77777777" w:rsidR="00AB1246" w:rsidRPr="00B21C75" w:rsidRDefault="00AB1246" w:rsidP="00AB1246">
      <w:pPr>
        <w:rPr>
          <w:rFonts w:ascii="Gotham Medium" w:hAnsi="Gotham Medium"/>
        </w:rPr>
      </w:pPr>
      <w:r w:rsidRPr="00B21C75">
        <w:rPr>
          <w:rFonts w:ascii="Gotham Medium" w:hAnsi="Gotham Medium"/>
        </w:rPr>
        <w:t xml:space="preserve">The App Mobility Fabric (AMF) is the Nutanix virtualization solution that allows apps to move across hypervisors. When virtual machines can move between hypervisors (for example, between VMware </w:t>
      </w:r>
      <w:proofErr w:type="spellStart"/>
      <w:r w:rsidRPr="00B21C75">
        <w:rPr>
          <w:rFonts w:ascii="Gotham Medium" w:hAnsi="Gotham Medium"/>
        </w:rPr>
        <w:t>ESXi</w:t>
      </w:r>
      <w:proofErr w:type="spellEnd"/>
      <w:r w:rsidRPr="00B21C75">
        <w:rPr>
          <w:rFonts w:ascii="Gotham Medium" w:hAnsi="Gotham Medium"/>
        </w:rPr>
        <w:t xml:space="preserve"> and AHV), administrators can host production and dev/test environments concurrently on different hypervisors and shift workloads between them as needed. AMF is implemented via a distributed, scale-out service that runs inside the CVM on every node within a Nutanix cluster. </w:t>
      </w:r>
    </w:p>
    <w:p w14:paraId="362DC6B4" w14:textId="77777777" w:rsidR="00AB1246" w:rsidRPr="00B21C75" w:rsidRDefault="00AB1246" w:rsidP="00AB1246">
      <w:pPr>
        <w:pStyle w:val="NutanixHeading2"/>
      </w:pPr>
      <w:bookmarkStart w:id="21" w:name="_Toc431824182"/>
      <w:bookmarkStart w:id="22" w:name="_Toc432152499"/>
      <w:bookmarkStart w:id="23" w:name="_Toc433722265"/>
      <w:bookmarkStart w:id="24" w:name="_Toc438631599"/>
      <w:bookmarkStart w:id="25" w:name="_Toc438632183"/>
      <w:bookmarkStart w:id="26" w:name="_Toc448219041"/>
      <w:bookmarkStart w:id="27" w:name="_Toc460871518"/>
      <w:bookmarkStart w:id="28" w:name="_Toc460871559"/>
      <w:bookmarkStart w:id="29" w:name="_Toc535580075"/>
      <w:bookmarkStart w:id="30" w:name="_Toc536714574"/>
      <w:r w:rsidRPr="00B21C75">
        <w:t>A</w:t>
      </w:r>
      <w:bookmarkEnd w:id="21"/>
      <w:bookmarkEnd w:id="22"/>
      <w:bookmarkEnd w:id="23"/>
      <w:bookmarkEnd w:id="24"/>
      <w:bookmarkEnd w:id="25"/>
      <w:r w:rsidRPr="00B21C75">
        <w:t>HV</w:t>
      </w:r>
      <w:bookmarkEnd w:id="26"/>
      <w:bookmarkEnd w:id="27"/>
      <w:bookmarkEnd w:id="28"/>
      <w:bookmarkEnd w:id="29"/>
      <w:bookmarkEnd w:id="30"/>
      <w:r w:rsidRPr="00B21C75">
        <w:t xml:space="preserve"> </w:t>
      </w:r>
    </w:p>
    <w:p w14:paraId="152CA86E" w14:textId="77777777" w:rsidR="00AB1246" w:rsidRPr="00B21C75" w:rsidRDefault="00AB1246" w:rsidP="00AB1246">
      <w:pPr>
        <w:rPr>
          <w:rFonts w:ascii="Gotham Medium" w:hAnsi="Gotham Medium"/>
        </w:rPr>
      </w:pPr>
      <w:r w:rsidRPr="00B21C75">
        <w:rPr>
          <w:rFonts w:ascii="Gotham Medium" w:hAnsi="Gotham Medium"/>
        </w:rPr>
        <w:t xml:space="preserve">Nutanix ships with a hardened, enterprise-ready hypervisor based on proven open source technology. AHV is managed with the Prism interface, a robust REST API, and an interactive command-line interface called </w:t>
      </w:r>
      <w:proofErr w:type="spellStart"/>
      <w:r w:rsidRPr="00B21C75">
        <w:rPr>
          <w:rFonts w:ascii="Gotham Medium" w:hAnsi="Gotham Medium"/>
        </w:rPr>
        <w:t>aCLI</w:t>
      </w:r>
      <w:proofErr w:type="spellEnd"/>
      <w:r w:rsidRPr="00B21C75">
        <w:rPr>
          <w:rFonts w:ascii="Gotham Medium" w:hAnsi="Gotham Medium"/>
        </w:rPr>
        <w:t xml:space="preserve"> (Acropolis CLI). These tools combine to eliminate the management complexity typically associated with open source environments and allow out-of-the-box virtualization on Nutanix—all without the licensing fees associated with other hypervisors.</w:t>
      </w:r>
    </w:p>
    <w:p w14:paraId="6D4650E9" w14:textId="77777777" w:rsidR="00AB1246" w:rsidRPr="00B21C75" w:rsidRDefault="00AB1246" w:rsidP="00AB1246">
      <w:pPr>
        <w:pStyle w:val="NutanixHeading2"/>
      </w:pPr>
      <w:bookmarkStart w:id="31" w:name="_Toc433794264"/>
      <w:bookmarkStart w:id="32" w:name="_Toc448393469"/>
      <w:bookmarkStart w:id="33" w:name="_Toc536714575"/>
      <w:r w:rsidRPr="00B21C75">
        <w:t>Nutanix Acropolis Architecture</w:t>
      </w:r>
      <w:bookmarkEnd w:id="31"/>
      <w:bookmarkEnd w:id="32"/>
      <w:bookmarkEnd w:id="33"/>
    </w:p>
    <w:p w14:paraId="3D9AE964" w14:textId="77777777" w:rsidR="00AB1246" w:rsidRPr="00B21C75" w:rsidRDefault="00AB1246" w:rsidP="00AB1246">
      <w:pPr>
        <w:rPr>
          <w:rFonts w:ascii="Gotham Medium" w:hAnsi="Gotham Medium"/>
        </w:rPr>
      </w:pPr>
      <w:r w:rsidRPr="00B21C75">
        <w:rPr>
          <w:rFonts w:ascii="Gotham Medium" w:hAnsi="Gotham Medium"/>
        </w:rPr>
        <w:t>Acropolis does not rely on traditional SAN or NAS storage or expensive storage network interconnects. It combines highly dense storage and server compute (CPU and RAM) into a single platform building block. Each building block delivers a unified, scale-out, shared-nothing architecture with no single points of failure.</w:t>
      </w:r>
    </w:p>
    <w:p w14:paraId="7AF866C9" w14:textId="77777777" w:rsidR="00AB1246" w:rsidRPr="00B21C75" w:rsidRDefault="00AB1246" w:rsidP="00AB1246">
      <w:pPr>
        <w:rPr>
          <w:rFonts w:ascii="Gotham Medium" w:hAnsi="Gotham Medium"/>
        </w:rPr>
      </w:pPr>
      <w:r w:rsidRPr="00B21C75">
        <w:rPr>
          <w:rFonts w:ascii="Gotham Medium" w:hAnsi="Gotham Medium"/>
        </w:rPr>
        <w:t xml:space="preserve">The Nutanix solution requires no SAN constructs, such as LUNs, RAID groups, or expensive storage switches. All storage management is VM-centric, and I/O is optimized at the VM virtual disk level. The software solution runs on nodes from a variety of manufacturers that are either all-flash for optimal performance, or a hybrid combination of SSD and HDD that provides a combination of performance and additional capacity. The DSF automatically tiers data across the cluster to </w:t>
      </w:r>
      <w:r w:rsidRPr="00B21C75">
        <w:rPr>
          <w:rFonts w:ascii="Gotham Medium" w:hAnsi="Gotham Medium"/>
        </w:rPr>
        <w:lastRenderedPageBreak/>
        <w:t xml:space="preserve">different classes of storage devices using intelligent data placement algorithms. For best performance, algorithms make sure the most frequently used data is available in memory or in flash on the node local to the VM. </w:t>
      </w:r>
    </w:p>
    <w:p w14:paraId="268C1579" w14:textId="77777777" w:rsidR="00AB1246" w:rsidRPr="00B21C75" w:rsidRDefault="00AB1246" w:rsidP="00AB1246">
      <w:pPr>
        <w:pStyle w:val="NutanixHeading2"/>
      </w:pPr>
      <w:bookmarkStart w:id="34" w:name="_Toc535580076"/>
      <w:bookmarkStart w:id="35" w:name="_Toc536714576"/>
      <w:r w:rsidRPr="00B21C75">
        <w:t>Field Installation Using Nutanix Foundation</w:t>
      </w:r>
      <w:bookmarkEnd w:id="34"/>
      <w:bookmarkEnd w:id="35"/>
    </w:p>
    <w:p w14:paraId="67207E86" w14:textId="77777777" w:rsidR="00AB1246" w:rsidRPr="00B21C75" w:rsidRDefault="00AB1246" w:rsidP="00AB1246">
      <w:pPr>
        <w:rPr>
          <w:rFonts w:ascii="Gotham Medium" w:hAnsi="Gotham Medium"/>
        </w:rPr>
      </w:pPr>
      <w:r w:rsidRPr="00B21C75">
        <w:rPr>
          <w:rFonts w:ascii="Gotham Medium" w:hAnsi="Gotham Medium"/>
        </w:rPr>
        <w:t>Nutanix installs AHV and the Nutanix CVM on each node at the factory before shipping it to a customer. To use a different hypervisor (</w:t>
      </w:r>
      <w:proofErr w:type="spellStart"/>
      <w:r w:rsidRPr="00B21C75">
        <w:rPr>
          <w:rFonts w:ascii="Gotham Medium" w:hAnsi="Gotham Medium"/>
        </w:rPr>
        <w:t>ESXi</w:t>
      </w:r>
      <w:proofErr w:type="spellEnd"/>
      <w:r w:rsidRPr="00B21C75">
        <w:rPr>
          <w:rFonts w:ascii="Gotham Medium" w:hAnsi="Gotham Medium"/>
        </w:rPr>
        <w:t xml:space="preserve">, Hyper-V, or </w:t>
      </w:r>
      <w:proofErr w:type="spellStart"/>
      <w:r w:rsidRPr="00B21C75">
        <w:rPr>
          <w:rFonts w:ascii="Gotham Medium" w:hAnsi="Gotham Medium"/>
        </w:rPr>
        <w:t>XenServer</w:t>
      </w:r>
      <w:proofErr w:type="spellEnd"/>
      <w:r w:rsidRPr="00B21C75">
        <w:rPr>
          <w:rFonts w:ascii="Gotham Medium" w:hAnsi="Gotham Medium"/>
        </w:rPr>
        <w:t xml:space="preserve">) on factory nodes, or to use any hypervisor on bare metal nodes, Nutanix offers a tool called Foundation that images the nodes in the field. The </w:t>
      </w:r>
      <w:hyperlink r:id="rId14" w:history="1">
        <w:r w:rsidRPr="00B21C75">
          <w:rPr>
            <w:rStyle w:val="Hyperlink"/>
            <w:rFonts w:ascii="Gotham Medium" w:eastAsiaTheme="majorEastAsia" w:hAnsi="Gotham Medium" w:cstheme="majorBidi"/>
            <w:sz w:val="26"/>
            <w:szCs w:val="26"/>
          </w:rPr>
          <w:t>Nutanix Field Installation Guide</w:t>
        </w:r>
      </w:hyperlink>
      <w:r w:rsidRPr="00B21C75">
        <w:rPr>
          <w:rFonts w:ascii="Gotham Medium" w:hAnsi="Gotham Medium"/>
        </w:rPr>
        <w:t xml:space="preserve"> provides step-by-step instructions on how to use Foundation for a field installation, which consists of installing a hypervisor and the Nutanix CVM on each node and then creating a cluster. You can also use Foundation to create a cluster from nodes that are already imaged or to image nodes without creating a cluster.</w:t>
      </w:r>
    </w:p>
    <w:p w14:paraId="64A2C407" w14:textId="77777777" w:rsidR="00AB1246" w:rsidRPr="00B21C75" w:rsidRDefault="00AB1246" w:rsidP="00AB1246">
      <w:pPr>
        <w:keepNext/>
        <w:jc w:val="center"/>
        <w:rPr>
          <w:rFonts w:ascii="Gotham Medium" w:hAnsi="Gotham Medium"/>
        </w:rPr>
      </w:pPr>
      <w:r w:rsidRPr="00B21C75">
        <w:rPr>
          <w:rFonts w:ascii="Gotham Medium" w:hAnsi="Gotham Medium"/>
          <w:noProof/>
        </w:rPr>
        <w:drawing>
          <wp:inline distT="0" distB="0" distL="0" distR="0" wp14:anchorId="5C879537" wp14:editId="58744A6D">
            <wp:extent cx="4711700" cy="2233402"/>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6" b="14818"/>
                    <a:stretch/>
                  </pic:blipFill>
                  <pic:spPr bwMode="auto">
                    <a:xfrm>
                      <a:off x="0" y="0"/>
                      <a:ext cx="4712872" cy="2233957"/>
                    </a:xfrm>
                    <a:prstGeom prst="rect">
                      <a:avLst/>
                    </a:prstGeom>
                    <a:noFill/>
                    <a:ln>
                      <a:noFill/>
                    </a:ln>
                    <a:extLst>
                      <a:ext uri="{53640926-AAD7-44D8-BBD7-CCE9431645EC}">
                        <a14:shadowObscured xmlns:a14="http://schemas.microsoft.com/office/drawing/2010/main"/>
                      </a:ext>
                    </a:extLst>
                  </pic:spPr>
                </pic:pic>
              </a:graphicData>
            </a:graphic>
          </wp:inline>
        </w:drawing>
      </w:r>
    </w:p>
    <w:p w14:paraId="53472938" w14:textId="77777777" w:rsidR="00AB1246" w:rsidRPr="00B21C75" w:rsidRDefault="00AB1246" w:rsidP="00AB1246">
      <w:pPr>
        <w:pStyle w:val="Caption"/>
        <w:rPr>
          <w:rFonts w:ascii="Gotham Medium" w:hAnsi="Gotham Medium"/>
        </w:rPr>
      </w:pPr>
      <w:bookmarkStart w:id="36" w:name="_Toc291145950"/>
      <w:bookmarkStart w:id="37" w:name="_Toc424201134"/>
      <w:bookmarkStart w:id="38" w:name="_Toc438632201"/>
      <w:bookmarkStart w:id="39" w:name="_Toc448219064"/>
      <w:r w:rsidRPr="00B21C75">
        <w:rPr>
          <w:rFonts w:ascii="Gotham Medium" w:hAnsi="Gotham Medium"/>
        </w:rPr>
        <w:t xml:space="preserve">Figure </w:t>
      </w:r>
      <w:r w:rsidRPr="00B21C75">
        <w:rPr>
          <w:rFonts w:ascii="Gotham Medium" w:hAnsi="Gotham Medium"/>
          <w:noProof/>
        </w:rPr>
        <w:fldChar w:fldCharType="begin"/>
      </w:r>
      <w:r w:rsidRPr="00B21C75">
        <w:rPr>
          <w:rFonts w:ascii="Gotham Medium" w:hAnsi="Gotham Medium"/>
          <w:noProof/>
        </w:rPr>
        <w:instrText xml:space="preserve"> SEQ Figure \* ARABIC </w:instrText>
      </w:r>
      <w:r w:rsidRPr="00B21C75">
        <w:rPr>
          <w:rFonts w:ascii="Gotham Medium" w:hAnsi="Gotham Medium"/>
          <w:noProof/>
        </w:rPr>
        <w:fldChar w:fldCharType="separate"/>
      </w:r>
      <w:r w:rsidRPr="00B21C75">
        <w:rPr>
          <w:rFonts w:ascii="Gotham Medium" w:hAnsi="Gotham Medium"/>
          <w:noProof/>
        </w:rPr>
        <w:t>2</w:t>
      </w:r>
      <w:r w:rsidRPr="00B21C75">
        <w:rPr>
          <w:rFonts w:ascii="Gotham Medium" w:hAnsi="Gotham Medium"/>
          <w:noProof/>
        </w:rPr>
        <w:fldChar w:fldCharType="end"/>
      </w:r>
      <w:r w:rsidRPr="00B21C75">
        <w:rPr>
          <w:rFonts w:ascii="Gotham Medium" w:hAnsi="Gotham Medium"/>
        </w:rPr>
        <w:t xml:space="preserve"> Information Life Cycle Management</w:t>
      </w:r>
      <w:bookmarkEnd w:id="36"/>
      <w:bookmarkEnd w:id="37"/>
      <w:bookmarkEnd w:id="38"/>
      <w:bookmarkEnd w:id="39"/>
      <w:r w:rsidRPr="00B21C75">
        <w:rPr>
          <w:rFonts w:ascii="Gotham Medium" w:hAnsi="Gotham Medium"/>
        </w:rPr>
        <w:tab/>
      </w:r>
    </w:p>
    <w:p w14:paraId="6C0519AA" w14:textId="77777777" w:rsidR="00AB1246" w:rsidRPr="00B21C75" w:rsidRDefault="00AB1246" w:rsidP="00AB1246">
      <w:pPr>
        <w:rPr>
          <w:rFonts w:ascii="Gotham Medium" w:hAnsi="Gotham Medium"/>
        </w:rPr>
      </w:pPr>
      <w:r w:rsidRPr="00B21C75">
        <w:rPr>
          <w:rFonts w:ascii="Gotham Medium" w:hAnsi="Gotham Medium"/>
        </w:rPr>
        <w:t>With the DSF, a CVM writes data to local flash memory for fast acknowledgment; the CVM also handles read operations locally for reduced latency and fast data delivery.</w:t>
      </w:r>
    </w:p>
    <w:p w14:paraId="1AB6842C" w14:textId="77777777" w:rsidR="00AB1246" w:rsidRPr="00B21C75" w:rsidRDefault="00AB1246" w:rsidP="00AB1246">
      <w:pPr>
        <w:rPr>
          <w:rFonts w:ascii="Gotham Medium" w:hAnsi="Gotham Medium"/>
        </w:rPr>
      </w:pPr>
      <w:r w:rsidRPr="00B21C75">
        <w:rPr>
          <w:rFonts w:ascii="Gotham Medium" w:hAnsi="Gotham Medium"/>
        </w:rPr>
        <w:t xml:space="preserve">The figure below shows an overview of the Nutanix architecture, including the hypervisor of your choice (AHV, </w:t>
      </w:r>
      <w:proofErr w:type="spellStart"/>
      <w:r w:rsidRPr="00B21C75">
        <w:rPr>
          <w:rFonts w:ascii="Gotham Medium" w:hAnsi="Gotham Medium"/>
        </w:rPr>
        <w:t>ESXi</w:t>
      </w:r>
      <w:proofErr w:type="spellEnd"/>
      <w:r w:rsidRPr="00B21C75">
        <w:rPr>
          <w:rFonts w:ascii="Gotham Medium" w:hAnsi="Gotham Medium"/>
        </w:rPr>
        <w:t xml:space="preserve">, or Hyper-V), user VMs, the Nutanix storage CVM, and its local disk devices. Each CVM connects directly to the local storage controller and its associated disks. Using local storage controllers on each host localizes access to data through the DSF, thereby reducing storage I/O latency. The DSF replicates writes synchronously to at least one other Nutanix node in the system, distributing data throughout the cluster for resiliency and availability. Replication factor 2 (RF2) creates two identical data copies in the cluster, and replication factor 3 (RF3) creates three identical data copies. Having a local </w:t>
      </w:r>
      <w:r w:rsidRPr="00B21C75">
        <w:rPr>
          <w:rFonts w:ascii="Gotham Medium" w:hAnsi="Gotham Medium"/>
        </w:rPr>
        <w:lastRenderedPageBreak/>
        <w:t>storage controller on each node ensures that storage performance as well as storage capacity increase linearly with node addition.</w:t>
      </w:r>
    </w:p>
    <w:p w14:paraId="66F957BC" w14:textId="77777777" w:rsidR="00AB1246" w:rsidRPr="00B21C75" w:rsidRDefault="00AB1246" w:rsidP="00AB1246">
      <w:pPr>
        <w:keepNext/>
        <w:jc w:val="center"/>
        <w:rPr>
          <w:rFonts w:ascii="Gotham Medium" w:hAnsi="Gotham Medium"/>
        </w:rPr>
      </w:pPr>
      <w:r w:rsidRPr="00B21C75">
        <w:rPr>
          <w:rFonts w:ascii="Gotham Medium" w:hAnsi="Gotham Medium"/>
          <w:noProof/>
        </w:rPr>
        <w:drawing>
          <wp:inline distT="0" distB="0" distL="0" distR="0" wp14:anchorId="00582393" wp14:editId="50596810">
            <wp:extent cx="6400800" cy="24485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F-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2448560"/>
                    </a:xfrm>
                    <a:prstGeom prst="rect">
                      <a:avLst/>
                    </a:prstGeom>
                  </pic:spPr>
                </pic:pic>
              </a:graphicData>
            </a:graphic>
          </wp:inline>
        </w:drawing>
      </w:r>
    </w:p>
    <w:p w14:paraId="06A7B9A4" w14:textId="77777777" w:rsidR="00AB1246" w:rsidRPr="00B21C75" w:rsidRDefault="00AB1246" w:rsidP="00AB1246">
      <w:pPr>
        <w:pStyle w:val="Caption"/>
        <w:rPr>
          <w:rFonts w:ascii="Gotham Medium" w:hAnsi="Gotham Medium"/>
        </w:rPr>
      </w:pPr>
      <w:bookmarkStart w:id="40" w:name="_Ref279160557"/>
      <w:bookmarkStart w:id="41" w:name="_Ref279160541"/>
      <w:bookmarkStart w:id="42" w:name="_Toc282265688"/>
      <w:bookmarkStart w:id="43" w:name="_Toc291145951"/>
      <w:bookmarkStart w:id="44" w:name="_Toc424201135"/>
      <w:bookmarkStart w:id="45" w:name="_Toc438632202"/>
      <w:bookmarkStart w:id="46" w:name="_Toc448219065"/>
      <w:r w:rsidRPr="00B21C75">
        <w:rPr>
          <w:rFonts w:ascii="Gotham Medium" w:hAnsi="Gotham Medium"/>
        </w:rPr>
        <w:t xml:space="preserve">Figure </w:t>
      </w:r>
      <w:r w:rsidRPr="00B21C75">
        <w:rPr>
          <w:rFonts w:ascii="Gotham Medium" w:hAnsi="Gotham Medium"/>
          <w:noProof/>
        </w:rPr>
        <w:fldChar w:fldCharType="begin"/>
      </w:r>
      <w:r w:rsidRPr="00B21C75">
        <w:rPr>
          <w:rFonts w:ascii="Gotham Medium" w:hAnsi="Gotham Medium"/>
          <w:noProof/>
        </w:rPr>
        <w:instrText xml:space="preserve"> SEQ Figure \* ARABIC </w:instrText>
      </w:r>
      <w:r w:rsidRPr="00B21C75">
        <w:rPr>
          <w:rFonts w:ascii="Gotham Medium" w:hAnsi="Gotham Medium"/>
          <w:noProof/>
        </w:rPr>
        <w:fldChar w:fldCharType="separate"/>
      </w:r>
      <w:r w:rsidRPr="00B21C75">
        <w:rPr>
          <w:rFonts w:ascii="Gotham Medium" w:hAnsi="Gotham Medium"/>
          <w:noProof/>
        </w:rPr>
        <w:t>3</w:t>
      </w:r>
      <w:r w:rsidRPr="00B21C75">
        <w:rPr>
          <w:rFonts w:ascii="Gotham Medium" w:hAnsi="Gotham Medium"/>
          <w:noProof/>
        </w:rPr>
        <w:fldChar w:fldCharType="end"/>
      </w:r>
      <w:bookmarkEnd w:id="40"/>
      <w:r w:rsidRPr="00B21C75">
        <w:rPr>
          <w:rFonts w:ascii="Gotham Medium" w:hAnsi="Gotham Medium"/>
        </w:rPr>
        <w:t xml:space="preserve"> Overview of the Nutanix Architecture</w:t>
      </w:r>
      <w:bookmarkEnd w:id="41"/>
      <w:bookmarkEnd w:id="42"/>
      <w:bookmarkEnd w:id="43"/>
      <w:bookmarkEnd w:id="44"/>
      <w:bookmarkEnd w:id="45"/>
      <w:bookmarkEnd w:id="46"/>
    </w:p>
    <w:p w14:paraId="6B898318" w14:textId="77777777" w:rsidR="00AB1246" w:rsidRPr="00B21C75" w:rsidRDefault="00AB1246" w:rsidP="00AB1246">
      <w:pPr>
        <w:rPr>
          <w:rFonts w:ascii="Gotham Medium" w:hAnsi="Gotham Medium"/>
        </w:rPr>
      </w:pPr>
      <w:r w:rsidRPr="00B21C75">
        <w:rPr>
          <w:rFonts w:ascii="Gotham Medium" w:hAnsi="Gotham Medium"/>
        </w:rPr>
        <w:t>Local storage for each Nutanix node in the architecture appears to the hypervisor as one large pool of shared storage. This allows the DSF to support all key virtualization features. Data localization maintains performance and quality of service (QoS) on each host, minimizing the effect noisy VMs have on their neighbors’ performance. This functionality allows for large, mixed-workload clusters that are more efficient and more resilient to failure when compared to traditional architectures with standalone, shared, and dual-controller storage arrays.</w:t>
      </w:r>
    </w:p>
    <w:p w14:paraId="15772A9B" w14:textId="77777777" w:rsidR="00AB1246" w:rsidRPr="00B21C75" w:rsidRDefault="00AB1246" w:rsidP="00AB1246">
      <w:pPr>
        <w:rPr>
          <w:rFonts w:ascii="Gotham Medium" w:hAnsi="Gotham Medium"/>
        </w:rPr>
      </w:pPr>
      <w:r w:rsidRPr="00B21C75">
        <w:rPr>
          <w:rFonts w:ascii="Gotham Medium" w:hAnsi="Gotham Medium"/>
        </w:rPr>
        <w:t>When VMs move from one hypervisor to another, such as during live migration/</w:t>
      </w:r>
      <w:proofErr w:type="spellStart"/>
      <w:r w:rsidRPr="00B21C75">
        <w:rPr>
          <w:rFonts w:ascii="Gotham Medium" w:hAnsi="Gotham Medium"/>
        </w:rPr>
        <w:t>vMotion</w:t>
      </w:r>
      <w:proofErr w:type="spellEnd"/>
      <w:r w:rsidRPr="00B21C75">
        <w:rPr>
          <w:rFonts w:ascii="Gotham Medium" w:hAnsi="Gotham Medium"/>
        </w:rPr>
        <w:t xml:space="preserve"> and high availability, the now local CVM serves a newly migrated VM’s data. When reading old data (stored on the now remote CVM) the local CVM forwards the I/O request to the remote CVM. All write I/O occurs locally. The DSF detects that I/O is occurring from a different node and migrates the data to the local node in the background, allowing for all read I/O to now be served locally. The data only migrates when there have been enough reads and writes from the remote node to minimize network utilization. </w:t>
      </w:r>
    </w:p>
    <w:p w14:paraId="17AA2B97" w14:textId="77777777" w:rsidR="00AB1246" w:rsidRPr="00B21C75" w:rsidRDefault="00AB1246" w:rsidP="00AB1246">
      <w:pPr>
        <w:rPr>
          <w:rFonts w:ascii="Gotham Medium" w:hAnsi="Gotham Medium"/>
        </w:rPr>
      </w:pPr>
      <w:r w:rsidRPr="00B21C75">
        <w:rPr>
          <w:rFonts w:ascii="Gotham Medium" w:hAnsi="Gotham Medium"/>
        </w:rPr>
        <w:t>The next figure shows how data follows the VM as it moves between hypervisor nodes.</w:t>
      </w:r>
    </w:p>
    <w:p w14:paraId="76570AEE" w14:textId="77777777" w:rsidR="00AB1246" w:rsidRPr="00B21C75" w:rsidRDefault="00AB1246" w:rsidP="00AB1246">
      <w:pPr>
        <w:keepNext/>
        <w:jc w:val="center"/>
        <w:rPr>
          <w:rFonts w:ascii="Gotham Medium" w:hAnsi="Gotham Medium"/>
        </w:rPr>
      </w:pPr>
      <w:r w:rsidRPr="00B21C75">
        <w:rPr>
          <w:rFonts w:ascii="Gotham Medium" w:hAnsi="Gotham Medium"/>
          <w:noProof/>
        </w:rPr>
        <w:lastRenderedPageBreak/>
        <w:drawing>
          <wp:inline distT="0" distB="0" distL="0" distR="0" wp14:anchorId="10FA075B" wp14:editId="62F8F23E">
            <wp:extent cx="6322425" cy="1959088"/>
            <wp:effectExtent l="0" t="0" r="2540" b="3175"/>
            <wp:docPr id="8961" name="Picture 8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322425" cy="1959088"/>
                    </a:xfrm>
                    <a:prstGeom prst="rect">
                      <a:avLst/>
                    </a:prstGeom>
                    <a:noFill/>
                    <a:ln>
                      <a:noFill/>
                    </a:ln>
                  </pic:spPr>
                </pic:pic>
              </a:graphicData>
            </a:graphic>
          </wp:inline>
        </w:drawing>
      </w:r>
    </w:p>
    <w:p w14:paraId="2CB70973" w14:textId="0372199B" w:rsidR="008C3CAB" w:rsidRPr="00B21C75" w:rsidRDefault="00AB1246" w:rsidP="00AB1246">
      <w:pPr>
        <w:pStyle w:val="Caption"/>
        <w:rPr>
          <w:rFonts w:ascii="Gotham Medium" w:hAnsi="Gotham Medium"/>
        </w:rPr>
      </w:pPr>
      <w:bookmarkStart w:id="47" w:name="_Ref290808214"/>
      <w:bookmarkStart w:id="48" w:name="_Toc291145952"/>
      <w:bookmarkStart w:id="49" w:name="_Toc424201136"/>
      <w:bookmarkStart w:id="50" w:name="_Toc438632203"/>
      <w:bookmarkStart w:id="51" w:name="_Toc448219066"/>
      <w:r w:rsidRPr="00B21C75">
        <w:rPr>
          <w:rFonts w:ascii="Gotham Medium" w:hAnsi="Gotham Medium"/>
        </w:rPr>
        <w:t xml:space="preserve">Figure </w:t>
      </w:r>
      <w:r w:rsidRPr="00B21C75">
        <w:rPr>
          <w:rFonts w:ascii="Gotham Medium" w:hAnsi="Gotham Medium"/>
          <w:noProof/>
        </w:rPr>
        <w:fldChar w:fldCharType="begin"/>
      </w:r>
      <w:r w:rsidRPr="00B21C75">
        <w:rPr>
          <w:rFonts w:ascii="Gotham Medium" w:hAnsi="Gotham Medium"/>
          <w:noProof/>
        </w:rPr>
        <w:instrText xml:space="preserve"> SEQ Figure \* ARABIC </w:instrText>
      </w:r>
      <w:r w:rsidRPr="00B21C75">
        <w:rPr>
          <w:rFonts w:ascii="Gotham Medium" w:hAnsi="Gotham Medium"/>
          <w:noProof/>
        </w:rPr>
        <w:fldChar w:fldCharType="separate"/>
      </w:r>
      <w:r w:rsidRPr="00B21C75">
        <w:rPr>
          <w:rFonts w:ascii="Gotham Medium" w:hAnsi="Gotham Medium"/>
          <w:noProof/>
        </w:rPr>
        <w:t>4</w:t>
      </w:r>
      <w:r w:rsidRPr="00B21C75">
        <w:rPr>
          <w:rFonts w:ascii="Gotham Medium" w:hAnsi="Gotham Medium"/>
          <w:noProof/>
        </w:rPr>
        <w:fldChar w:fldCharType="end"/>
      </w:r>
      <w:bookmarkEnd w:id="47"/>
      <w:r w:rsidRPr="00B21C75">
        <w:rPr>
          <w:rFonts w:ascii="Gotham Medium" w:hAnsi="Gotham Medium"/>
        </w:rPr>
        <w:t xml:space="preserve"> Data Locality and Live Migration</w:t>
      </w:r>
      <w:bookmarkEnd w:id="8"/>
      <w:bookmarkEnd w:id="48"/>
      <w:bookmarkEnd w:id="49"/>
      <w:bookmarkEnd w:id="50"/>
      <w:bookmarkEnd w:id="51"/>
    </w:p>
    <w:p>
      <w:pPr>
        <w:pStyle w:val="Heading1"/>
      </w:pPr>
      <w:r>
        <w:t>Environment Build</w:t>
      </w:r>
    </w:p>
    <w:p>
      <w:pPr>
        <w:pStyle w:val="NutanixHeading2"/>
      </w:pPr>
      <w:r>
        <w:t>Site Installation Details</w:t>
      </w:r>
    </w:p>
    <w:tbl>
      <w:tblPr>
        <w:tblStyle w:val="NutanixDarkBlueTableGrid5"/>
        <w:tblW w:type="auto" w:w="0"/>
        <w:tblLook w:firstColumn="1" w:firstRow="1" w:lastColumn="0" w:lastRow="0" w:noHBand="0" w:noVBand="1" w:val="04A0"/>
      </w:tblPr>
      <w:tblGrid>
        <w:gridCol w:w="4680"/>
        <w:gridCol w:w="4680"/>
      </w:tblGrid>
      <w:tr>
        <w:tc>
          <w:tcPr>
            <w:tcW w:type="dxa" w:w="4680"/>
          </w:tcPr>
          <w:p>
            <w:r>
              <w:t>Install Location Details</w:t>
            </w:r>
          </w:p>
        </w:tc>
        <w:tc>
          <w:tcPr>
            <w:tcW w:type="dxa" w:w="4680"/>
          </w:tcPr>
          <w:p/>
        </w:tc>
      </w:tr>
      <w:tr>
        <w:tc>
          <w:tcPr>
            <w:tcW w:type="dxa" w:w="4680"/>
          </w:tcPr>
          <w:p>
            <w:r>
              <w:t>Site Address</w:t>
            </w:r>
          </w:p>
        </w:tc>
        <w:tc>
          <w:tcPr>
            <w:tcW w:type="dxa" w:w="4680"/>
          </w:tcPr>
          <w:p>
            <w:r/>
          </w:p>
        </w:tc>
      </w:tr>
      <w:tr>
        <w:tc>
          <w:tcPr>
            <w:tcW w:type="dxa" w:w="4680"/>
          </w:tcPr>
          <w:p>
            <w:r>
              <w:t>Rack Location</w:t>
            </w:r>
          </w:p>
        </w:tc>
        <w:tc>
          <w:tcPr>
            <w:tcW w:type="dxa" w:w="4680"/>
          </w:tcPr>
          <w:p>
            <w:r/>
          </w:p>
        </w:tc>
      </w:tr>
      <w:tr>
        <w:tc>
          <w:tcPr>
            <w:tcW w:type="dxa" w:w="4680"/>
          </w:tcPr>
          <w:p>
            <w:r>
              <w:t>Rack Units</w:t>
            </w:r>
          </w:p>
        </w:tc>
        <w:tc>
          <w:tcPr>
            <w:tcW w:type="dxa" w:w="4680"/>
          </w:tcPr>
          <w:p>
            <w:r/>
          </w:p>
        </w:tc>
      </w:tr>
      <w:tr>
        <w:tc>
          <w:tcPr>
            <w:tcW w:type="dxa" w:w="4680"/>
          </w:tcPr>
          <w:p>
            <w:r>
              <w:t>Switch Location</w:t>
            </w:r>
          </w:p>
        </w:tc>
        <w:tc>
          <w:tcPr>
            <w:tcW w:type="dxa" w:w="4680"/>
          </w:tcPr>
          <w:p>
            <w:r/>
          </w:p>
        </w:tc>
      </w:tr>
    </w:tbl>
    <w:p/>
    <w:p>
      <w:pPr>
        <w:pStyle w:val="NutanixHeading2"/>
      </w:pPr>
      <w:r>
        <w:t>High Level Overview</w:t>
      </w:r>
    </w:p>
    <w:p>
      <w:pPr/>
      <w:r>
        <w:t>KT has engaged Nutanix Services to implement a Nutanix cluster solution to serve virtual infrastructure workloads.</w:t>
      </w:r>
    </w:p>
    <w:p>
      <w:pPr>
        <w:pStyle w:val="NutanixReplaceText"/>
      </w:pPr>
      <w:r>
        <w:t>&lt;Insert diagram from the Cluster Deployment Diagram.  Specify physical design elements such as usable capacity, cores and RAM&gt;</w:t>
      </w:r>
    </w:p>
    <w:p>
      <w:pPr>
        <w:pStyle w:val="NutanixHeading2"/>
      </w:pPr>
      <w:r>
        <w:t>Network Cabling Diagram</w:t>
      </w:r>
    </w:p>
    <w:p>
      <w:r>
        <w:drawing>
          <wp:inline xmlns:a="http://schemas.openxmlformats.org/drawingml/2006/main" xmlns:pic="http://schemas.openxmlformats.org/drawingml/2006/picture">
            <wp:extent cx="5000000" cy="3086420"/>
            <wp:docPr id="8962" name="Picture 8962"/>
            <wp:cNvGraphicFramePr>
              <a:graphicFrameLocks noChangeAspect="1"/>
            </wp:cNvGraphicFramePr>
            <a:graphic>
              <a:graphicData uri="http://schemas.openxmlformats.org/drawingml/2006/picture">
                <pic:pic>
                  <pic:nvPicPr>
                    <pic:cNvPr id="0" name="NetworkDiagram.png"/>
                    <pic:cNvPicPr/>
                  </pic:nvPicPr>
                  <pic:blipFill>
                    <a:blip r:embed="rId22"/>
                    <a:stretch>
                      <a:fillRect/>
                    </a:stretch>
                  </pic:blipFill>
                  <pic:spPr>
                    <a:xfrm>
                      <a:off x="0" y="0"/>
                      <a:ext cx="5000000" cy="3086420"/>
                    </a:xfrm>
                    <a:prstGeom prst="rect"/>
                  </pic:spPr>
                </pic:pic>
              </a:graphicData>
            </a:graphic>
          </wp:inline>
        </w:drawing>
      </w:r>
    </w:p>
    <w:p>
      <w:pPr>
        <w:pStyle w:val="NutanixHeading2"/>
      </w:pPr>
      <w:r>
        <w:t>Physical Rack Layout</w:t>
      </w:r>
    </w:p>
    <w:p>
      <w:pPr>
        <w:pStyle w:val="NutanixReplaceText"/>
      </w:pPr>
      <w:r>
        <w:t>&lt;Insert Picture of rack from Cluster Deployment Diagrams to show positioning of cluster in regards to switches (If Required)&gt;</w:t>
      </w:r>
    </w:p>
    <w:tbl>
      <w:tblPr>
        <w:tblStyle w:val="NutanixDarkBlueTableGrid5"/>
        <w:tblW w:type="auto" w:w="0"/>
        <w:tblLook w:firstColumn="1" w:firstRow="1" w:lastColumn="0" w:lastRow="0" w:noHBand="0" w:noVBand="1" w:val="04A0"/>
      </w:tblPr>
      <w:tblGrid>
        <w:gridCol w:w="4680"/>
        <w:gridCol w:w="4680"/>
      </w:tblGrid>
      <w:tr>
        <w:tc>
          <w:tcPr>
            <w:tcW w:type="dxa" w:w="4680"/>
          </w:tcPr>
          <w:p>
            <w:r>
              <w:t>RUID</w:t>
            </w:r>
          </w:p>
        </w:tc>
        <w:tc>
          <w:tcPr>
            <w:tcW w:type="dxa" w:w="4680"/>
          </w:tcPr>
          <w:p>
            <w:r>
              <w:t>RACK ID</w:t>
            </w:r>
          </w:p>
        </w:tc>
      </w:tr>
      <w:tr>
        <w:tc>
          <w:tcPr>
            <w:tcW w:type="dxa" w:w="4680"/>
          </w:tcPr>
          <w:p>
            <w:r>
              <w:t>42</w:t>
            </w:r>
          </w:p>
        </w:tc>
        <w:tc>
          <w:tcPr>
            <w:tcW w:type="dxa" w:w="4680"/>
          </w:tcPr>
          <w:p>
            <w:r/>
          </w:p>
        </w:tc>
      </w:tr>
      <w:tr>
        <w:tc>
          <w:tcPr>
            <w:tcW w:type="dxa" w:w="4680"/>
          </w:tcPr>
          <w:p>
            <w:r>
              <w:t>41</w:t>
            </w:r>
          </w:p>
        </w:tc>
        <w:tc>
          <w:tcPr>
            <w:tcW w:type="dxa" w:w="4680"/>
          </w:tcPr>
          <w:p>
            <w:r/>
          </w:p>
        </w:tc>
      </w:tr>
      <w:tr>
        <w:tc>
          <w:tcPr>
            <w:tcW w:type="dxa" w:w="4680"/>
          </w:tcPr>
          <w:p>
            <w:r>
              <w:t>40</w:t>
            </w:r>
          </w:p>
        </w:tc>
        <w:tc>
          <w:tcPr>
            <w:tcW w:type="dxa" w:w="4680"/>
          </w:tcPr>
          <w:p>
            <w:r/>
          </w:p>
        </w:tc>
      </w:tr>
      <w:tr>
        <w:tc>
          <w:tcPr>
            <w:tcW w:type="dxa" w:w="4680"/>
          </w:tcPr>
          <w:p>
            <w:r>
              <w:t>39</w:t>
            </w:r>
          </w:p>
        </w:tc>
        <w:tc>
          <w:tcPr>
            <w:tcW w:type="dxa" w:w="4680"/>
          </w:tcPr>
          <w:p>
            <w:r/>
          </w:p>
        </w:tc>
      </w:tr>
      <w:tr>
        <w:tc>
          <w:tcPr>
            <w:tcW w:type="dxa" w:w="4680"/>
          </w:tcPr>
          <w:p>
            <w:r>
              <w:t>38</w:t>
            </w:r>
          </w:p>
        </w:tc>
        <w:tc>
          <w:tcPr>
            <w:tcW w:type="dxa" w:w="4680"/>
          </w:tcPr>
          <w:p>
            <w:r/>
          </w:p>
        </w:tc>
      </w:tr>
      <w:tr>
        <w:tc>
          <w:tcPr>
            <w:tcW w:type="dxa" w:w="4680"/>
          </w:tcPr>
          <w:p>
            <w:r>
              <w:t>37</w:t>
            </w:r>
          </w:p>
        </w:tc>
        <w:tc>
          <w:tcPr>
            <w:tcW w:type="dxa" w:w="4680"/>
          </w:tcPr>
          <w:p>
            <w:r/>
          </w:p>
        </w:tc>
      </w:tr>
    </w:tbl>
    <w:p>
      <w:pPr>
        <w:pStyle w:val="NutanixHeading2"/>
      </w:pPr>
      <w:r>
        <w:t>Nutanix Node – Port Layout</w:t>
      </w:r>
    </w:p>
    <w:p>
      <w:pPr/>
      <w:r>
        <w:t>The Nutanix blocks for KT are cabled to a pair of 10GbE Top of Rack Switches for Redundancy.  The dedicated IPMI port is cabled to a secondary 1GbE switch for out of band management.</w:t>
      </w:r>
    </w:p>
    <w:p>
      <w:r/>
    </w:p>
    <w:p>
      <w:pPr>
        <w:pStyle w:val="NutanixReplaceText"/>
      </w:pPr>
      <w:r>
        <w:t>&lt;The resources/images/GCP.png image is unavailable. Please manually insert correct image for node here.&gt;</w:t>
      </w:r>
    </w:p>
    <w:p>
      <w:pPr>
        <w:pStyle w:val="Heading1"/>
      </w:pPr>
      <w:r>
        <w:t>Hypervisor Host Design</w:t>
      </w:r>
    </w:p>
    <w:p>
      <w:pPr>
        <w:pStyle w:val="NutanixHeading2"/>
      </w:pPr>
      <w:r>
        <w:t>Logical Design</w:t>
      </w:r>
    </w:p>
    <w:p>
      <w:r>
        <w:drawing>
          <wp:inline xmlns:a="http://schemas.openxmlformats.org/drawingml/2006/main" xmlns:pic="http://schemas.openxmlformats.org/drawingml/2006/picture">
            <wp:extent cx="5000000" cy="2363961"/>
            <wp:docPr id="8963" name="Picture 8963"/>
            <wp:cNvGraphicFramePr>
              <a:graphicFrameLocks noChangeAspect="1"/>
            </wp:cNvGraphicFramePr>
            <a:graphic>
              <a:graphicData uri="http://schemas.openxmlformats.org/drawingml/2006/picture">
                <pic:pic>
                  <pic:nvPicPr>
                    <pic:cNvPr id="0" name="kKvm_logical.png"/>
                    <pic:cNvPicPr/>
                  </pic:nvPicPr>
                  <pic:blipFill>
                    <a:blip r:embed="rId23"/>
                    <a:stretch>
                      <a:fillRect/>
                    </a:stretch>
                  </pic:blipFill>
                  <pic:spPr>
                    <a:xfrm>
                      <a:off x="0" y="0"/>
                      <a:ext cx="5000000" cy="2363961"/>
                    </a:xfrm>
                    <a:prstGeom prst="rect"/>
                  </pic:spPr>
                </pic:pic>
              </a:graphicData>
            </a:graphic>
          </wp:inline>
        </w:drawing>
      </w:r>
    </w:p>
    <w:p>
      <w:pPr>
        <w:pStyle w:val="NutanixHeading2"/>
      </w:pPr>
      <w:r>
        <w:t>AHV Host Information</w:t>
      </w:r>
    </w:p>
    <w:tbl>
      <w:tblPr>
        <w:tblStyle w:val="NutanixDarkBlueTableGrid5"/>
        <w:tblW w:type="auto" w:w="0"/>
        <w:tblLook w:firstColumn="1" w:firstRow="1" w:lastColumn="0" w:lastRow="0" w:noHBand="0" w:noVBand="1" w:val="04A0"/>
      </w:tblPr>
      <w:tblGrid>
        <w:gridCol w:w="2340"/>
        <w:gridCol w:w="2340"/>
        <w:gridCol w:w="2340"/>
        <w:gridCol w:w="2340"/>
      </w:tblGrid>
      <w:tr>
        <w:tc>
          <w:tcPr>
            <w:tcW w:type="dxa" w:w="2340"/>
          </w:tcPr>
          <w:p>
            <w:r>
              <w:t>Hostname</w:t>
            </w:r>
          </w:p>
        </w:tc>
        <w:tc>
          <w:tcPr>
            <w:tcW w:type="dxa" w:w="2340"/>
          </w:tcPr>
          <w:p>
            <w:r>
              <w:t>CVM IP</w:t>
            </w:r>
          </w:p>
        </w:tc>
        <w:tc>
          <w:tcPr>
            <w:tcW w:type="dxa" w:w="2340"/>
          </w:tcPr>
          <w:p>
            <w:r>
              <w:t>Management IP</w:t>
            </w:r>
          </w:p>
        </w:tc>
        <w:tc>
          <w:tcPr>
            <w:tcW w:type="dxa" w:w="2340"/>
          </w:tcPr>
          <w:p>
            <w:r>
              <w:t>IPMI IP</w:t>
            </w:r>
          </w:p>
        </w:tc>
      </w:tr>
      <w:tr>
        <w:tc>
          <w:tcPr>
            <w:tcW w:type="dxa" w:w="2340"/>
          </w:tcPr>
          <w:p>
            <w:r>
              <w:t>172-30-0-4</w:t>
            </w:r>
          </w:p>
        </w:tc>
        <w:tc>
          <w:tcPr>
            <w:tcW w:type="dxa" w:w="2340"/>
          </w:tcPr>
          <w:p>
            <w:r>
              <w:t>172.30.0.5</w:t>
            </w:r>
          </w:p>
        </w:tc>
        <w:tc>
          <w:tcPr>
            <w:tcW w:type="dxa" w:w="2340"/>
          </w:tcPr>
          <w:p>
            <w:r>
              <w:t>172.30.0.4</w:t>
            </w:r>
          </w:p>
        </w:tc>
        <w:tc>
          <w:tcPr>
            <w:tcW w:type="dxa" w:w="2340"/>
          </w:tcPr>
          <w:p>
            <w:r>
              <w:t>None</w:t>
            </w:r>
          </w:p>
        </w:tc>
      </w:tr>
    </w:tbl>
    <w:p/>
    <w:p>
      <w:pPr>
        <w:pStyle w:val="NutanixHeading2"/>
      </w:pPr>
      <w:r>
        <w:t>Host Details Table</w:t>
      </w:r>
    </w:p>
    <w:tbl>
      <w:tblPr>
        <w:tblStyle w:val="NutanixDarkBlueTableGrid5"/>
        <w:tblW w:type="auto" w:w="0"/>
        <w:tblLook w:firstColumn="1" w:firstRow="1" w:lastColumn="0" w:lastRow="0" w:noHBand="0" w:noVBand="1" w:val="04A0"/>
      </w:tblPr>
      <w:tblGrid>
        <w:gridCol w:w="4680"/>
        <w:gridCol w:w="4680"/>
      </w:tblGrid>
      <w:tr>
        <w:tc>
          <w:tcPr>
            <w:tcW w:type="dxa" w:w="4680"/>
          </w:tcPr>
          <w:p>
            <w:r>
              <w:t>Hostname</w:t>
            </w:r>
          </w:p>
        </w:tc>
        <w:tc>
          <w:tcPr>
            <w:tcW w:type="dxa" w:w="4680"/>
          </w:tcPr>
          <w:p>
            <w:r>
              <w:t>Hypervisor Version</w:t>
            </w:r>
          </w:p>
        </w:tc>
      </w:tr>
      <w:tr>
        <w:tc>
          <w:tcPr>
            <w:tcW w:type="dxa" w:w="4680"/>
          </w:tcPr>
          <w:p>
            <w:r>
              <w:t>172-30-0-4</w:t>
            </w:r>
          </w:p>
        </w:tc>
        <w:tc>
          <w:tcPr>
            <w:tcW w:type="dxa" w:w="4680"/>
          </w:tcPr>
          <w:p>
            <w:r>
              <w:t>Nutanix 20170830.122</w:t>
            </w:r>
          </w:p>
        </w:tc>
      </w:tr>
    </w:tbl>
    <w:p/>
    <w:p>
      <w:pPr>
        <w:pStyle w:val="NutanixHeading2"/>
      </w:pPr>
      <w:r>
        <w:t>Management Server Table</w:t>
      </w:r>
    </w:p>
    <w:tbl>
      <w:tblPr>
        <w:tblStyle w:val="NutanixDarkBlueTableGrid5"/>
        <w:tblW w:type="auto" w:w="0"/>
        <w:tblLook w:firstColumn="1" w:firstRow="1" w:lastColumn="0" w:lastRow="0" w:noHBand="0" w:noVBand="1" w:val="04A0"/>
      </w:tblPr>
      <w:tblGrid>
        <w:gridCol w:w="3120"/>
        <w:gridCol w:w="3120"/>
        <w:gridCol w:w="3120"/>
      </w:tblGrid>
      <w:tr>
        <w:tc>
          <w:tcPr>
            <w:tcW w:type="dxa" w:w="3120"/>
          </w:tcPr>
          <w:p>
            <w:r>
              <w:t>Management Server Type</w:t>
            </w:r>
          </w:p>
        </w:tc>
        <w:tc>
          <w:tcPr>
            <w:tcW w:type="dxa" w:w="3120"/>
          </w:tcPr>
          <w:p>
            <w:r>
              <w:t>IP Address</w:t>
            </w:r>
          </w:p>
        </w:tc>
        <w:tc>
          <w:tcPr>
            <w:tcW w:type="dxa" w:w="3120"/>
          </w:tcPr>
          <w:p>
            <w:r>
              <w:t>Registered</w:t>
            </w:r>
          </w:p>
        </w:tc>
      </w:tr>
      <w:tr>
        <w:tc>
          <w:tcPr>
            <w:tcW w:type="dxa" w:w="3120"/>
          </w:tcPr>
          <w:p>
            <w:r>
              <w:t>Not Setup</w:t>
            </w:r>
          </w:p>
        </w:tc>
        <w:tc>
          <w:tcPr>
            <w:tcW w:type="dxa" w:w="3120"/>
          </w:tcPr>
          <w:p/>
        </w:tc>
        <w:tc>
          <w:tcPr>
            <w:tcW w:type="dxa" w:w="3120"/>
          </w:tcPr>
          <w:p/>
        </w:tc>
      </w:tr>
    </w:tbl>
    <w:p/>
    <w:p>
      <w:pPr>
        <w:pStyle w:val="NutanixHeading2"/>
      </w:pPr>
      <w:r>
        <w:t>Host Model Information</w:t>
      </w:r>
    </w:p>
    <w:tbl>
      <w:tblPr>
        <w:tblStyle w:val="NutanixDarkBlueTableGrid5"/>
        <w:tblW w:type="auto" w:w="0"/>
        <w:tblLook w:firstColumn="1" w:firstRow="1" w:lastColumn="0" w:lastRow="0" w:noHBand="0" w:noVBand="1" w:val="04A0"/>
      </w:tblPr>
      <w:tblGrid>
        <w:gridCol w:w="3120"/>
        <w:gridCol w:w="3120"/>
        <w:gridCol w:w="3120"/>
      </w:tblGrid>
      <w:tr>
        <w:tc>
          <w:tcPr>
            <w:tcW w:type="dxa" w:w="3120"/>
          </w:tcPr>
          <w:p>
            <w:r>
              <w:t>Host Name</w:t>
            </w:r>
          </w:p>
        </w:tc>
        <w:tc>
          <w:tcPr>
            <w:tcW w:type="dxa" w:w="3120"/>
          </w:tcPr>
          <w:p>
            <w:r>
              <w:t>Model</w:t>
            </w:r>
          </w:p>
        </w:tc>
        <w:tc>
          <w:tcPr>
            <w:tcW w:type="dxa" w:w="3120"/>
          </w:tcPr>
          <w:p>
            <w:r>
              <w:t>Serial</w:t>
            </w:r>
          </w:p>
        </w:tc>
      </w:tr>
      <w:tr>
        <w:tc>
          <w:tcPr>
            <w:tcW w:type="dxa" w:w="3120"/>
          </w:tcPr>
          <w:p>
            <w:r>
              <w:t>172-30-0-4</w:t>
            </w:r>
          </w:p>
        </w:tc>
        <w:tc>
          <w:tcPr>
            <w:tcW w:type="dxa" w:w="3120"/>
          </w:tcPr>
          <w:p>
            <w:r>
              <w:t>GCP</w:t>
            </w:r>
          </w:p>
        </w:tc>
        <w:tc>
          <w:tcPr>
            <w:tcW w:type="dxa" w:w="3120"/>
          </w:tcPr>
          <w:p>
            <w:r>
              <w:t>172-30-0-5</w:t>
            </w:r>
          </w:p>
        </w:tc>
      </w:tr>
    </w:tbl>
    <w:p>
      <w:pPr>
        <w:pStyle w:val="NutanixHeading2"/>
      </w:pPr>
      <w:r>
        <w:t>Host CPU and Memory Information</w:t>
      </w:r>
    </w:p>
    <w:tbl>
      <w:tblPr>
        <w:tblStyle w:val="NutanixDarkBlueTableGrid5"/>
        <w:tblW w:type="auto" w:w="0"/>
        <w:tblLook w:firstColumn="1" w:firstRow="1" w:lastColumn="0" w:lastRow="0" w:noHBand="0" w:noVBand="1" w:val="04A0"/>
      </w:tblPr>
      <w:tblGrid>
        <w:gridCol w:w="2340"/>
        <w:gridCol w:w="2340"/>
        <w:gridCol w:w="2340"/>
        <w:gridCol w:w="2340"/>
      </w:tblGrid>
      <w:tr>
        <w:tc>
          <w:tcPr>
            <w:tcW w:type="dxa" w:w="2340"/>
          </w:tcPr>
          <w:p>
            <w:r>
              <w:t>Host Name</w:t>
            </w:r>
          </w:p>
        </w:tc>
        <w:tc>
          <w:tcPr>
            <w:tcW w:type="dxa" w:w="2340"/>
          </w:tcPr>
          <w:p>
            <w:r>
              <w:t>CPU Cores</w:t>
            </w:r>
          </w:p>
        </w:tc>
        <w:tc>
          <w:tcPr>
            <w:tcW w:type="dxa" w:w="2340"/>
          </w:tcPr>
          <w:p>
            <w:r>
              <w:t>CPU Threads</w:t>
            </w:r>
          </w:p>
        </w:tc>
        <w:tc>
          <w:tcPr>
            <w:tcW w:type="dxa" w:w="2340"/>
          </w:tcPr>
          <w:p>
            <w:r>
              <w:t>Memory</w:t>
            </w:r>
          </w:p>
        </w:tc>
      </w:tr>
      <w:tr>
        <w:tc>
          <w:tcPr>
            <w:tcW w:type="dxa" w:w="2340"/>
          </w:tcPr>
          <w:p>
            <w:r>
              <w:t>172-30-0-4</w:t>
            </w:r>
          </w:p>
        </w:tc>
        <w:tc>
          <w:tcPr>
            <w:tcW w:type="dxa" w:w="2340"/>
          </w:tcPr>
          <w:p>
            <w:r>
              <w:t>4</w:t>
            </w:r>
          </w:p>
        </w:tc>
        <w:tc>
          <w:tcPr>
            <w:tcW w:type="dxa" w:w="2340"/>
          </w:tcPr>
          <w:p>
            <w:r>
              <w:t>8</w:t>
            </w:r>
          </w:p>
        </w:tc>
        <w:tc>
          <w:tcPr>
            <w:tcW w:type="dxa" w:w="2340"/>
          </w:tcPr>
          <w:p>
            <w:r>
              <w:t>19.48 GB</w:t>
            </w:r>
          </w:p>
        </w:tc>
      </w:tr>
    </w:tbl>
    <w:p>
      <w:pPr>
        <w:pStyle w:val="NutanixHeading2"/>
      </w:pPr>
      <w:r>
        <w:t>Firmware Information</w:t>
      </w:r>
    </w:p>
    <w:p>
      <w:pPr>
        <w:pStyle w:val="Heading3"/>
      </w:pPr>
      <w:r>
        <w:t>BIOS and BMC Information</w:t>
      </w:r>
    </w:p>
    <w:tbl>
      <w:tblPr>
        <w:tblStyle w:val="NutanixDarkBlueTableGrid5"/>
        <w:tblW w:type="auto" w:w="0"/>
        <w:tblLook w:firstColumn="1" w:firstRow="1" w:lastColumn="0" w:lastRow="0" w:noHBand="0" w:noVBand="1" w:val="04A0"/>
      </w:tblPr>
      <w:tblGrid>
        <w:gridCol w:w="1872"/>
        <w:gridCol w:w="1872"/>
        <w:gridCol w:w="1872"/>
        <w:gridCol w:w="1872"/>
        <w:gridCol w:w="1872"/>
      </w:tblGrid>
      <w:tr>
        <w:tc>
          <w:tcPr>
            <w:tcW w:type="dxa" w:w="1872"/>
          </w:tcPr>
          <w:p>
            <w:r>
              <w:t>Hostname</w:t>
            </w:r>
          </w:p>
        </w:tc>
        <w:tc>
          <w:tcPr>
            <w:tcW w:type="dxa" w:w="1872"/>
          </w:tcPr>
          <w:p>
            <w:r>
              <w:t>Bios Version</w:t>
            </w:r>
          </w:p>
        </w:tc>
        <w:tc>
          <w:tcPr>
            <w:tcW w:type="dxa" w:w="1872"/>
          </w:tcPr>
          <w:p>
            <w:r>
              <w:t>Bios Model</w:t>
            </w:r>
          </w:p>
        </w:tc>
        <w:tc>
          <w:tcPr>
            <w:tcW w:type="dxa" w:w="1872"/>
          </w:tcPr>
          <w:p>
            <w:r>
              <w:t>BMC Version</w:t>
            </w:r>
          </w:p>
        </w:tc>
        <w:tc>
          <w:tcPr>
            <w:tcW w:type="dxa" w:w="1872"/>
          </w:tcPr>
          <w:p>
            <w:r>
              <w:t>BMC Model</w:t>
            </w:r>
          </w:p>
        </w:tc>
      </w:tr>
      <w:tr>
        <w:tc>
          <w:tcPr>
            <w:tcW w:type="dxa" w:w="1872"/>
          </w:tcPr>
          <w:p>
            <w:r>
              <w:t>172-30-0-4</w:t>
            </w:r>
          </w:p>
        </w:tc>
        <w:tc>
          <w:tcPr>
            <w:tcW w:type="dxa" w:w="1872"/>
          </w:tcPr>
          <w:p>
            <w:r>
              <w:t>None</w:t>
            </w:r>
          </w:p>
        </w:tc>
        <w:tc>
          <w:tcPr>
            <w:tcW w:type="dxa" w:w="1872"/>
          </w:tcPr>
          <w:p>
            <w:r>
              <w:t>None</w:t>
            </w:r>
          </w:p>
        </w:tc>
        <w:tc>
          <w:tcPr>
            <w:tcW w:type="dxa" w:w="1872"/>
          </w:tcPr>
          <w:p>
            <w:r>
              <w:t>None</w:t>
            </w:r>
          </w:p>
        </w:tc>
        <w:tc>
          <w:tcPr>
            <w:tcW w:type="dxa" w:w="1872"/>
          </w:tcPr>
          <w:p>
            <w:r>
              <w:t>None</w:t>
            </w:r>
          </w:p>
        </w:tc>
      </w:tr>
    </w:tbl>
    <w:p/>
    <w:p>
      <w:pPr>
        <w:pStyle w:val="Heading3"/>
      </w:pPr>
      <w:r>
        <w:t>HBA Information</w:t>
      </w:r>
    </w:p>
    <w:tbl>
      <w:tblPr>
        <w:tblStyle w:val="NutanixDarkBlueTableGrid5"/>
        <w:tblW w:type="auto" w:w="0"/>
        <w:tblLook w:firstColumn="1" w:firstRow="1" w:lastColumn="0" w:lastRow="0" w:noHBand="0" w:noVBand="1" w:val="04A0"/>
      </w:tblPr>
      <w:tblGrid>
        <w:gridCol w:w="3120"/>
        <w:gridCol w:w="3120"/>
        <w:gridCol w:w="3120"/>
      </w:tblGrid>
      <w:tr>
        <w:tc>
          <w:tcPr>
            <w:tcW w:type="dxa" w:w="3120"/>
          </w:tcPr>
          <w:p>
            <w:r>
              <w:t>Hostname</w:t>
            </w:r>
          </w:p>
        </w:tc>
        <w:tc>
          <w:tcPr>
            <w:tcW w:type="dxa" w:w="3120"/>
          </w:tcPr>
          <w:p>
            <w:r>
              <w:t>HBA Version</w:t>
            </w:r>
          </w:p>
        </w:tc>
        <w:tc>
          <w:tcPr>
            <w:tcW w:type="dxa" w:w="3120"/>
          </w:tcPr>
          <w:p>
            <w:r>
              <w:t>HBA Model</w:t>
            </w:r>
          </w:p>
        </w:tc>
      </w:tr>
    </w:tbl>
    <w:p/>
    <w:p>
      <w:pPr>
        <w:pStyle w:val="Heading1"/>
      </w:pPr>
      <w:r>
        <w:t>Nutanix Configuration</w:t>
      </w:r>
    </w:p>
    <w:p>
      <w:pPr>
        <w:pStyle w:val="NutanixHeading2"/>
      </w:pPr>
      <w:r>
        <w:t>Cluster Information</w:t>
      </w:r>
    </w:p>
    <w:tbl>
      <w:tblPr>
        <w:tblStyle w:val="NutanixDarkBlueTableGrid5"/>
        <w:tblW w:type="auto" w:w="0"/>
        <w:tblLook w:firstColumn="1" w:firstRow="1" w:lastColumn="0" w:lastRow="0" w:noHBand="0" w:noVBand="1" w:val="04A0"/>
      </w:tblPr>
      <w:tblGrid>
        <w:gridCol w:w="2340"/>
        <w:gridCol w:w="2340"/>
        <w:gridCol w:w="2340"/>
        <w:gridCol w:w="2340"/>
      </w:tblGrid>
      <w:tr>
        <w:tc>
          <w:tcPr>
            <w:tcW w:type="dxa" w:w="2340"/>
          </w:tcPr>
          <w:p>
            <w:r>
              <w:t>Cluster Name</w:t>
            </w:r>
          </w:p>
        </w:tc>
        <w:tc>
          <w:tcPr>
            <w:tcW w:type="dxa" w:w="2340"/>
          </w:tcPr>
          <w:p>
            <w:r>
              <w:t>Cluster UUID</w:t>
            </w:r>
          </w:p>
        </w:tc>
        <w:tc>
          <w:tcPr>
            <w:tcW w:type="dxa" w:w="2340"/>
          </w:tcPr>
          <w:p>
            <w:r>
              <w:t>Cluster IP</w:t>
            </w:r>
          </w:p>
        </w:tc>
        <w:tc>
          <w:tcPr>
            <w:tcW w:type="dxa" w:w="2340"/>
          </w:tcPr>
          <w:p>
            <w:r>
              <w:t>Cluster RF</w:t>
            </w:r>
          </w:p>
        </w:tc>
      </w:tr>
      <w:tr>
        <w:tc>
          <w:tcPr>
            <w:tcW w:type="dxa" w:w="2340"/>
          </w:tcPr>
          <w:p>
            <w:r>
              <w:t>HybridCloud</w:t>
            </w:r>
          </w:p>
        </w:tc>
        <w:tc>
          <w:tcPr>
            <w:tcW w:type="dxa" w:w="2340"/>
          </w:tcPr>
          <w:p>
            <w:r>
              <w:t>d1e98274-f286-4882-9487-b0f804a95393</w:t>
            </w:r>
          </w:p>
        </w:tc>
        <w:tc>
          <w:tcPr>
            <w:tcW w:type="dxa" w:w="2340"/>
          </w:tcPr>
          <w:p>
            <w:r>
              <w:t>172.30.0.2</w:t>
            </w:r>
          </w:p>
        </w:tc>
        <w:tc>
          <w:tcPr>
            <w:tcW w:type="dxa" w:w="2340"/>
          </w:tcPr>
          <w:p>
            <w:r>
              <w:t>1</w:t>
            </w:r>
          </w:p>
        </w:tc>
      </w:tr>
    </w:tbl>
    <w:p/>
    <w:tbl>
      <w:tblPr>
        <w:tblStyle w:val="NutanixDarkBlueTableGrid5"/>
        <w:tblW w:type="auto" w:w="0"/>
        <w:tblLook w:firstColumn="1" w:firstRow="1" w:lastColumn="0" w:lastRow="0" w:noHBand="0" w:noVBand="1" w:val="04A0"/>
      </w:tblPr>
      <w:tblGrid>
        <w:gridCol w:w="2340"/>
        <w:gridCol w:w="2340"/>
        <w:gridCol w:w="2340"/>
        <w:gridCol w:w="2340"/>
      </w:tblGrid>
      <w:tr>
        <w:tc>
          <w:tcPr>
            <w:tcW w:type="dxa" w:w="2340"/>
          </w:tcPr>
          <w:p>
            <w:r>
              <w:t>Cluster Name</w:t>
            </w:r>
          </w:p>
        </w:tc>
        <w:tc>
          <w:tcPr>
            <w:tcW w:type="dxa" w:w="2340"/>
          </w:tcPr>
          <w:p>
            <w:r>
              <w:t>Time Zone</w:t>
            </w:r>
          </w:p>
        </w:tc>
        <w:tc>
          <w:tcPr>
            <w:tcW w:type="dxa" w:w="2340"/>
          </w:tcPr>
          <w:p>
            <w:r>
              <w:t>NCC Version</w:t>
            </w:r>
          </w:p>
        </w:tc>
        <w:tc>
          <w:tcPr>
            <w:tcW w:type="dxa" w:w="2340"/>
          </w:tcPr>
          <w:p>
            <w:r>
              <w:t>AOS Version</w:t>
            </w:r>
          </w:p>
        </w:tc>
      </w:tr>
      <w:tr>
        <w:tc>
          <w:tcPr>
            <w:tcW w:type="dxa" w:w="2340"/>
          </w:tcPr>
          <w:p>
            <w:r>
              <w:t>HybridCloud</w:t>
            </w:r>
          </w:p>
        </w:tc>
        <w:tc>
          <w:tcPr>
            <w:tcW w:type="dxa" w:w="2340"/>
          </w:tcPr>
          <w:p>
            <w:r>
              <w:t>UTC</w:t>
            </w:r>
          </w:p>
        </w:tc>
        <w:tc>
          <w:tcPr>
            <w:tcW w:type="dxa" w:w="2340"/>
          </w:tcPr>
          <w:p>
            <w:r>
              <w:t>ncc-3.9.4.1</w:t>
            </w:r>
          </w:p>
        </w:tc>
        <w:tc>
          <w:tcPr>
            <w:tcW w:type="dxa" w:w="2340"/>
          </w:tcPr>
          <w:p>
            <w:r>
              <w:t>5.15</w:t>
            </w:r>
          </w:p>
        </w:tc>
      </w:tr>
    </w:tbl>
    <w:p/>
    <w:tbl>
      <w:tblPr>
        <w:tblStyle w:val="NutanixMediumBlueTableGrid6"/>
        <w:tblW w:type="auto" w:w="0"/>
        <w:tblLook w:firstColumn="1" w:firstRow="1" w:lastColumn="0" w:lastRow="0" w:noHBand="0" w:noVBand="1" w:val="04A0"/>
      </w:tblPr>
      <w:tblGrid>
        <w:gridCol w:w="3120"/>
        <w:gridCol w:w="3120"/>
        <w:gridCol w:w="3120"/>
      </w:tblGrid>
      <w:tr>
        <w:tc>
          <w:tcPr>
            <w:tcW w:type="dxa" w:w="3120"/>
          </w:tcPr>
          <w:p>
            <w:r>
              <w:t>NTP Server(s)</w:t>
            </w:r>
          </w:p>
        </w:tc>
        <w:tc>
          <w:tcPr>
            <w:tcW w:type="dxa" w:w="3120"/>
          </w:tcPr>
          <w:p>
            <w:r>
              <w:t>DNS Server(s)</w:t>
            </w:r>
          </w:p>
        </w:tc>
        <w:tc>
          <w:tcPr>
            <w:tcW w:type="dxa" w:w="3120"/>
          </w:tcPr>
          <w:p>
            <w:r>
              <w:t>Global Whitelist</w:t>
            </w:r>
          </w:p>
        </w:tc>
      </w:tr>
      <w:tr>
        <w:tc>
          <w:tcPr>
            <w:tcW w:type="dxa" w:w="3120"/>
          </w:tcPr>
          <w:p>
            <w:r>
              <w:t>pool.ntp.org</w:t>
            </w:r>
          </w:p>
        </w:tc>
        <w:tc>
          <w:tcPr>
            <w:tcW w:type="dxa" w:w="3120"/>
          </w:tcPr>
          <w:p>
            <w:r>
              <w:t>169.254.169.254</w:t>
              <w:br/>
              <w:t>8.8.8.8</w:t>
            </w:r>
          </w:p>
        </w:tc>
        <w:tc>
          <w:tcPr>
            <w:tcW w:type="dxa" w:w="3120"/>
          </w:tcPr>
          <w:p>
            <w:r/>
          </w:p>
        </w:tc>
      </w:tr>
    </w:tbl>
    <w:p/>
    <w:p>
      <w:pPr>
        <w:pStyle w:val="Heading3"/>
      </w:pPr>
      <w:r>
        <w:t>Networks</w:t>
      </w:r>
    </w:p>
    <w:tbl>
      <w:tblPr>
        <w:tblStyle w:val="NutanixMediumBlueTableGrid6"/>
        <w:tblW w:type="auto" w:w="0"/>
        <w:tblLook w:firstColumn="1" w:firstRow="1" w:lastColumn="0" w:lastRow="0" w:noHBand="0" w:noVBand="1" w:val="04A0"/>
      </w:tblPr>
      <w:tblGrid>
        <w:gridCol w:w="2340"/>
        <w:gridCol w:w="2340"/>
        <w:gridCol w:w="2340"/>
        <w:gridCol w:w="2340"/>
      </w:tblGrid>
      <w:tr>
        <w:tc>
          <w:tcPr>
            <w:tcW w:type="dxa" w:w="2340"/>
          </w:tcPr>
          <w:p>
            <w:r>
              <w:t>Name</w:t>
            </w:r>
          </w:p>
        </w:tc>
        <w:tc>
          <w:tcPr>
            <w:tcW w:type="dxa" w:w="2340"/>
          </w:tcPr>
          <w:p>
            <w:r>
              <w:t>VLAN ID</w:t>
            </w:r>
          </w:p>
        </w:tc>
        <w:tc>
          <w:tcPr>
            <w:tcW w:type="dxa" w:w="2340"/>
          </w:tcPr>
          <w:p>
            <w:r>
              <w:t>Subnet IP</w:t>
            </w:r>
          </w:p>
        </w:tc>
        <w:tc>
          <w:tcPr>
            <w:tcW w:type="dxa" w:w="2340"/>
          </w:tcPr>
          <w:p>
            <w:r>
              <w:t>Prefix Length</w:t>
            </w:r>
          </w:p>
        </w:tc>
      </w:tr>
      <w:tr>
        <w:tc>
          <w:tcPr>
            <w:tcW w:type="dxa" w:w="2340"/>
          </w:tcPr>
          <w:p>
            <w:r>
              <w:t>default-net</w:t>
            </w:r>
          </w:p>
        </w:tc>
        <w:tc>
          <w:tcPr>
            <w:tcW w:type="dxa" w:w="2340"/>
          </w:tcPr>
          <w:p>
            <w:r>
              <w:t>1</w:t>
            </w:r>
          </w:p>
        </w:tc>
        <w:tc>
          <w:tcPr>
            <w:tcW w:type="dxa" w:w="2340"/>
          </w:tcPr>
          <w:p>
            <w:r>
              <w:t>172.31.0.0</w:t>
            </w:r>
          </w:p>
        </w:tc>
        <w:tc>
          <w:tcPr>
            <w:tcW w:type="dxa" w:w="2340"/>
          </w:tcPr>
          <w:p>
            <w:r>
              <w:t>24</w:t>
            </w:r>
          </w:p>
        </w:tc>
      </w:tr>
      <w:tr>
        <w:tc>
          <w:tcPr>
            <w:tcW w:type="dxa" w:w="2340"/>
          </w:tcPr>
          <w:p>
            <w:r>
              <w:t>managed  network production</w:t>
            </w:r>
          </w:p>
        </w:tc>
        <w:tc>
          <w:tcPr>
            <w:tcW w:type="dxa" w:w="2340"/>
          </w:tcPr>
          <w:p>
            <w:r>
              <w:t>0</w:t>
            </w:r>
          </w:p>
        </w:tc>
        <w:tc>
          <w:tcPr>
            <w:tcW w:type="dxa" w:w="2340"/>
          </w:tcPr>
          <w:p>
            <w:r>
              <w:t>172.31.0.0</w:t>
            </w:r>
          </w:p>
        </w:tc>
        <w:tc>
          <w:tcPr>
            <w:tcW w:type="dxa" w:w="2340"/>
          </w:tcPr>
          <w:p>
            <w:r>
              <w:t>24</w:t>
            </w:r>
          </w:p>
        </w:tc>
      </w:tr>
      <w:tr>
        <w:tc>
          <w:tcPr>
            <w:tcW w:type="dxa" w:w="2340"/>
          </w:tcPr>
          <w:p>
            <w:r>
              <w:t>unmanaged network develop</w:t>
            </w:r>
          </w:p>
        </w:tc>
        <w:tc>
          <w:tcPr>
            <w:tcW w:type="dxa" w:w="2340"/>
          </w:tcPr>
          <w:p>
            <w:r>
              <w:t>101</w:t>
            </w:r>
          </w:p>
        </w:tc>
        <w:tc>
          <w:tcPr>
            <w:tcW w:type="dxa" w:w="2340"/>
          </w:tcPr>
          <w:p>
            <w:r>
              <w:t>172.31.101.0</w:t>
            </w:r>
          </w:p>
        </w:tc>
        <w:tc>
          <w:tcPr>
            <w:tcW w:type="dxa" w:w="2340"/>
          </w:tcPr>
          <w:p>
            <w:r>
              <w:t>24</w:t>
            </w:r>
          </w:p>
        </w:tc>
      </w:tr>
    </w:tbl>
    <w:p/>
    <w:p>
      <w:pPr>
        <w:pStyle w:val="Heading3"/>
      </w:pPr>
      <w:r>
        <w:t>VM Network Info</w:t>
      </w:r>
    </w:p>
    <w:tbl>
      <w:tblPr>
        <w:tblStyle w:val="NutanixMediumBlueTableGrid6"/>
        <w:tblW w:type="auto" w:w="0"/>
        <w:tblLook w:firstColumn="1" w:firstRow="1" w:lastColumn="0" w:lastRow="0" w:noHBand="0" w:noVBand="1" w:val="04A0"/>
      </w:tblPr>
      <w:tblGrid>
        <w:gridCol w:w="2340"/>
        <w:gridCol w:w="2340"/>
        <w:gridCol w:w="2340"/>
        <w:gridCol w:w="2340"/>
      </w:tblGrid>
      <w:tr>
        <w:tc>
          <w:tcPr>
            <w:tcW w:type="dxa" w:w="2340"/>
          </w:tcPr>
          <w:p>
            <w:r>
              <w:t>VM Name</w:t>
            </w:r>
          </w:p>
        </w:tc>
        <w:tc>
          <w:tcPr>
            <w:tcW w:type="dxa" w:w="2340"/>
          </w:tcPr>
          <w:p>
            <w:r>
              <w:t>VLANs</w:t>
            </w:r>
          </w:p>
        </w:tc>
        <w:tc>
          <w:tcPr>
            <w:tcW w:type="dxa" w:w="2340"/>
          </w:tcPr>
          <w:p>
            <w:r>
              <w:t>NIC Type</w:t>
            </w:r>
          </w:p>
        </w:tc>
        <w:tc>
          <w:tcPr>
            <w:tcW w:type="dxa" w:w="2340"/>
          </w:tcPr>
          <w:p>
            <w:r>
              <w:t>NIC IPs</w:t>
            </w:r>
          </w:p>
        </w:tc>
      </w:tr>
      <w:tr>
        <w:tc>
          <w:tcPr>
            <w:tcW w:type="dxa" w:w="2340"/>
          </w:tcPr>
          <w:p>
            <w:r>
              <w:t>App-prod</w:t>
            </w:r>
          </w:p>
        </w:tc>
        <w:tc>
          <w:tcPr>
            <w:tcW w:type="dxa" w:w="2340"/>
          </w:tcPr>
          <w:p>
            <w:r>
              <w:t xml:space="preserve">managed  network production, </w:t>
            </w:r>
          </w:p>
        </w:tc>
        <w:tc>
          <w:tcPr>
            <w:tcW w:type="dxa" w:w="2340"/>
          </w:tcPr>
          <w:p>
            <w:r>
              <w:t xml:space="preserve">NORMAL_NIC, </w:t>
            </w:r>
          </w:p>
        </w:tc>
        <w:tc>
          <w:tcPr>
            <w:tcW w:type="dxa" w:w="2340"/>
          </w:tcPr>
          <w:p>
            <w:r>
              <w:t>172.31.0.222</w:t>
            </w:r>
          </w:p>
        </w:tc>
      </w:tr>
      <w:tr>
        <w:tc>
          <w:tcPr>
            <w:tcW w:type="dxa" w:w="2340"/>
          </w:tcPr>
          <w:p>
            <w:r>
              <w:t>Web-prod</w:t>
            </w:r>
          </w:p>
        </w:tc>
        <w:tc>
          <w:tcPr>
            <w:tcW w:type="dxa" w:w="2340"/>
          </w:tcPr>
          <w:p>
            <w:r>
              <w:t xml:space="preserve">managed  network production, </w:t>
            </w:r>
          </w:p>
        </w:tc>
        <w:tc>
          <w:tcPr>
            <w:tcW w:type="dxa" w:w="2340"/>
          </w:tcPr>
          <w:p>
            <w:r>
              <w:t xml:space="preserve">NORMAL_NIC, </w:t>
            </w:r>
          </w:p>
        </w:tc>
        <w:tc>
          <w:tcPr>
            <w:tcW w:type="dxa" w:w="2340"/>
          </w:tcPr>
          <w:p>
            <w:r>
              <w:t>172.31.0.212</w:t>
            </w:r>
          </w:p>
        </w:tc>
      </w:tr>
      <w:tr>
        <w:tc>
          <w:tcPr>
            <w:tcW w:type="dxa" w:w="2340"/>
          </w:tcPr>
          <w:p>
            <w:r>
              <w:t>db-prod</w:t>
            </w:r>
          </w:p>
        </w:tc>
        <w:tc>
          <w:tcPr>
            <w:tcW w:type="dxa" w:w="2340"/>
          </w:tcPr>
          <w:p>
            <w:r>
              <w:t xml:space="preserve">managed  network production, </w:t>
            </w:r>
          </w:p>
        </w:tc>
        <w:tc>
          <w:tcPr>
            <w:tcW w:type="dxa" w:w="2340"/>
          </w:tcPr>
          <w:p>
            <w:r>
              <w:t xml:space="preserve">NORMAL_NIC, </w:t>
            </w:r>
          </w:p>
        </w:tc>
        <w:tc>
          <w:tcPr>
            <w:tcW w:type="dxa" w:w="2340"/>
          </w:tcPr>
          <w:p>
            <w:r>
              <w:t>172.31.0.225</w:t>
            </w:r>
          </w:p>
        </w:tc>
      </w:tr>
      <w:tr>
        <w:tc>
          <w:tcPr>
            <w:tcW w:type="dxa" w:w="2340"/>
          </w:tcPr>
          <w:p>
            <w:r>
              <w:t>Web-dev</w:t>
            </w:r>
          </w:p>
        </w:tc>
        <w:tc>
          <w:tcPr>
            <w:tcW w:type="dxa" w:w="2340"/>
          </w:tcPr>
          <w:p>
            <w:r>
              <w:t xml:space="preserve">unmanaged network develop, </w:t>
            </w:r>
          </w:p>
        </w:tc>
        <w:tc>
          <w:tcPr>
            <w:tcW w:type="dxa" w:w="2340"/>
          </w:tcPr>
          <w:p>
            <w:r>
              <w:t xml:space="preserve">NORMAL_NIC, </w:t>
            </w:r>
          </w:p>
        </w:tc>
        <w:tc>
          <w:tcPr>
            <w:tcW w:type="dxa" w:w="2340"/>
          </w:tcPr>
          <w:p>
            <w:r>
              <w:t>172.31.101.5</w:t>
            </w:r>
          </w:p>
        </w:tc>
      </w:tr>
      <w:tr>
        <w:tc>
          <w:tcPr>
            <w:tcW w:type="dxa" w:w="2340"/>
          </w:tcPr>
          <w:p>
            <w:r>
              <w:t>db-dev</w:t>
            </w:r>
          </w:p>
        </w:tc>
        <w:tc>
          <w:tcPr>
            <w:tcW w:type="dxa" w:w="2340"/>
          </w:tcPr>
          <w:p>
            <w:r>
              <w:t xml:space="preserve">unmanaged network develop, </w:t>
            </w:r>
          </w:p>
        </w:tc>
        <w:tc>
          <w:tcPr>
            <w:tcW w:type="dxa" w:w="2340"/>
          </w:tcPr>
          <w:p>
            <w:r>
              <w:t xml:space="preserve">NORMAL_NIC, </w:t>
            </w:r>
          </w:p>
        </w:tc>
        <w:tc>
          <w:tcPr>
            <w:tcW w:type="dxa" w:w="2340"/>
          </w:tcPr>
          <w:p>
            <w:r>
              <w:t>172.31.101.6</w:t>
            </w:r>
          </w:p>
        </w:tc>
      </w:tr>
      <w:tr>
        <w:tc>
          <w:tcPr>
            <w:tcW w:type="dxa" w:w="2340"/>
          </w:tcPr>
          <w:p>
            <w:r>
              <w:t>App-dev</w:t>
            </w:r>
          </w:p>
        </w:tc>
        <w:tc>
          <w:tcPr>
            <w:tcW w:type="dxa" w:w="2340"/>
          </w:tcPr>
          <w:p>
            <w:r>
              <w:t xml:space="preserve">unmanaged network develop, </w:t>
            </w:r>
          </w:p>
        </w:tc>
        <w:tc>
          <w:tcPr>
            <w:tcW w:type="dxa" w:w="2340"/>
          </w:tcPr>
          <w:p>
            <w:r>
              <w:t xml:space="preserve">NORMAL_NIC, </w:t>
            </w:r>
          </w:p>
        </w:tc>
        <w:tc>
          <w:tcPr>
            <w:tcW w:type="dxa" w:w="2340"/>
          </w:tcPr>
          <w:p>
            <w:r>
              <w:t>172.31.101.7</w:t>
            </w:r>
          </w:p>
        </w:tc>
      </w:tr>
      <w:tr>
        <w:tc>
          <w:tcPr>
            <w:tcW w:type="dxa" w:w="2340"/>
          </w:tcPr>
          <w:p>
            <w:r>
              <w:t>Nutanix-Clone-Web-prod</w:t>
            </w:r>
          </w:p>
        </w:tc>
        <w:tc>
          <w:tcPr>
            <w:tcW w:type="dxa" w:w="2340"/>
          </w:tcPr>
          <w:p>
            <w:r>
              <w:t xml:space="preserve">managed  network production, </w:t>
            </w:r>
          </w:p>
        </w:tc>
        <w:tc>
          <w:tcPr>
            <w:tcW w:type="dxa" w:w="2340"/>
          </w:tcPr>
          <w:p>
            <w:r>
              <w:t xml:space="preserve">NORMAL_NIC, </w:t>
            </w:r>
          </w:p>
        </w:tc>
        <w:tc>
          <w:tcPr>
            <w:tcW w:type="dxa" w:w="2340"/>
          </w:tcPr>
          <w:p>
            <w:r>
              <w:t>172.31.0.221</w:t>
            </w:r>
          </w:p>
        </w:tc>
      </w:tr>
      <w:tr>
        <w:tc>
          <w:tcPr>
            <w:tcW w:type="dxa" w:w="2340"/>
          </w:tcPr>
          <w:p>
            <w:r>
              <w:t>Nutanix-Clone-db-prod</w:t>
            </w:r>
          </w:p>
        </w:tc>
        <w:tc>
          <w:tcPr>
            <w:tcW w:type="dxa" w:w="2340"/>
          </w:tcPr>
          <w:p>
            <w:r>
              <w:t xml:space="preserve">managed  network production, </w:t>
            </w:r>
          </w:p>
        </w:tc>
        <w:tc>
          <w:tcPr>
            <w:tcW w:type="dxa" w:w="2340"/>
          </w:tcPr>
          <w:p>
            <w:r>
              <w:t xml:space="preserve">NORMAL_NIC, </w:t>
            </w:r>
          </w:p>
        </w:tc>
        <w:tc>
          <w:tcPr>
            <w:tcW w:type="dxa" w:w="2340"/>
          </w:tcPr>
          <w:p>
            <w:r>
              <w:t>172.31.0.218</w:t>
            </w:r>
          </w:p>
        </w:tc>
      </w:tr>
      <w:tr>
        <w:tc>
          <w:tcPr>
            <w:tcW w:type="dxa" w:w="2340"/>
          </w:tcPr>
          <w:p>
            <w:r>
              <w:t>Nutanix-Clone-App-prod</w:t>
            </w:r>
          </w:p>
        </w:tc>
        <w:tc>
          <w:tcPr>
            <w:tcW w:type="dxa" w:w="2340"/>
          </w:tcPr>
          <w:p>
            <w:r>
              <w:t xml:space="preserve">managed  network production, </w:t>
            </w:r>
          </w:p>
        </w:tc>
        <w:tc>
          <w:tcPr>
            <w:tcW w:type="dxa" w:w="2340"/>
          </w:tcPr>
          <w:p>
            <w:r>
              <w:t xml:space="preserve">NORMAL_NIC, </w:t>
            </w:r>
          </w:p>
        </w:tc>
        <w:tc>
          <w:tcPr>
            <w:tcW w:type="dxa" w:w="2340"/>
          </w:tcPr>
          <w:p>
            <w:r>
              <w:t>172.31.0.223</w:t>
            </w:r>
          </w:p>
        </w:tc>
      </w:tr>
    </w:tbl>
    <w:p/>
    <w:p>
      <w:pPr>
        <w:pStyle w:val="Heading3"/>
      </w:pPr>
      <w:r>
        <w:t>High Availability (HA)</w:t>
      </w:r>
    </w:p>
    <w:tbl>
      <w:tblPr>
        <w:tblStyle w:val="NutanixMediumBlueTableGrid6"/>
        <w:tblW w:type="auto" w:w="0"/>
        <w:tblLook w:firstColumn="1" w:firstRow="1" w:lastColumn="0" w:lastRow="0" w:noHBand="0" w:noVBand="1" w:val="04A0"/>
      </w:tblPr>
      <w:tblGrid>
        <w:gridCol w:w="1872"/>
        <w:gridCol w:w="1872"/>
        <w:gridCol w:w="1872"/>
        <w:gridCol w:w="1872"/>
        <w:gridCol w:w="1872"/>
      </w:tblGrid>
      <w:tr>
        <w:tc>
          <w:tcPr>
            <w:tcW w:type="dxa" w:w="1872"/>
          </w:tcPr>
          <w:p>
            <w:r>
              <w:t>HA State</w:t>
            </w:r>
          </w:p>
        </w:tc>
        <w:tc>
          <w:tcPr>
            <w:tcW w:type="dxa" w:w="1872"/>
          </w:tcPr>
          <w:p>
            <w:r>
              <w:t>Failover Enabled</w:t>
            </w:r>
          </w:p>
        </w:tc>
        <w:tc>
          <w:tcPr>
            <w:tcW w:type="dxa" w:w="1872"/>
          </w:tcPr>
          <w:p>
            <w:r>
              <w:t>Number of Host Failures to Tolerate</w:t>
            </w:r>
          </w:p>
        </w:tc>
        <w:tc>
          <w:tcPr>
            <w:tcW w:type="dxa" w:w="1872"/>
          </w:tcPr>
          <w:p>
            <w:r>
              <w:t>Reservation Type</w:t>
            </w:r>
          </w:p>
        </w:tc>
        <w:tc>
          <w:tcPr>
            <w:tcW w:type="dxa" w:w="1872"/>
          </w:tcPr>
          <w:p>
            <w:r>
              <w:t>Reserved Hosts UUIDs</w:t>
            </w:r>
          </w:p>
        </w:tc>
      </w:tr>
      <w:tr>
        <w:tc>
          <w:tcPr>
            <w:tcW w:type="dxa" w:w="1872"/>
          </w:tcPr>
          <w:p>
            <w:r>
              <w:t>BestEffort</w:t>
            </w:r>
          </w:p>
        </w:tc>
        <w:tc>
          <w:tcPr>
            <w:tcW w:type="dxa" w:w="1872"/>
          </w:tcPr>
          <w:p>
            <w:r>
              <w:t>True</w:t>
            </w:r>
          </w:p>
        </w:tc>
        <w:tc>
          <w:tcPr>
            <w:tcW w:type="dxa" w:w="1872"/>
          </w:tcPr>
          <w:p>
            <w:r>
              <w:t>0</w:t>
            </w:r>
          </w:p>
        </w:tc>
        <w:tc>
          <w:tcPr>
            <w:tcW w:type="dxa" w:w="1872"/>
          </w:tcPr>
          <w:p>
            <w:r>
              <w:t>NoReservations</w:t>
            </w:r>
          </w:p>
        </w:tc>
        <w:tc>
          <w:tcPr>
            <w:tcW w:type="dxa" w:w="1872"/>
          </w:tcPr>
          <w:p>
            <w:r>
              <w:t>None</w:t>
            </w:r>
          </w:p>
        </w:tc>
      </w:tr>
    </w:tbl>
    <w:p/>
    <w:p>
      <w:pPr>
        <w:pStyle w:val="NutanixHeading2"/>
      </w:pPr>
      <w:r>
        <w:t>Licensing</w:t>
      </w:r>
    </w:p>
    <w:p>
      <w:pPr>
        <w:pStyle w:val="Heading3"/>
      </w:pPr>
      <w:r>
        <w:t>Cluster License</w:t>
      </w:r>
    </w:p>
    <w:tbl>
      <w:tblPr>
        <w:tblStyle w:val="NutanixDarkBlueTableGrid5"/>
        <w:tblW w:type="auto" w:w="0"/>
        <w:tblLook w:firstColumn="1" w:firstRow="1" w:lastColumn="0" w:lastRow="0" w:noHBand="0" w:noVBand="1" w:val="04A0"/>
      </w:tblPr>
      <w:tblGrid>
        <w:gridCol w:w="2340"/>
        <w:gridCol w:w="2340"/>
        <w:gridCol w:w="2340"/>
        <w:gridCol w:w="2340"/>
      </w:tblGrid>
      <w:tr>
        <w:tc>
          <w:tcPr>
            <w:tcW w:type="dxa" w:w="2340"/>
          </w:tcPr>
          <w:p>
            <w:r>
              <w:t>License</w:t>
            </w:r>
          </w:p>
        </w:tc>
        <w:tc>
          <w:tcPr>
            <w:tcW w:type="dxa" w:w="2340"/>
          </w:tcPr>
          <w:p>
            <w:r>
              <w:t>License Type</w:t>
            </w:r>
          </w:p>
        </w:tc>
        <w:tc>
          <w:tcPr>
            <w:tcW w:type="dxa" w:w="2340"/>
          </w:tcPr>
          <w:p>
            <w:r>
              <w:t>Block Serial Number</w:t>
            </w:r>
          </w:p>
        </w:tc>
        <w:tc>
          <w:tcPr>
            <w:tcW w:type="dxa" w:w="2340"/>
          </w:tcPr>
          <w:p>
            <w:r>
              <w:t>Expiration</w:t>
            </w:r>
          </w:p>
        </w:tc>
      </w:tr>
      <w:tr>
        <w:tc>
          <w:tcPr>
            <w:tcW w:type="dxa" w:w="2340"/>
          </w:tcPr>
          <w:p>
            <w:r>
              <w:t>Starter</w:t>
            </w:r>
          </w:p>
        </w:tc>
        <w:tc>
          <w:tcPr>
            <w:tcW w:type="dxa" w:w="2340"/>
          </w:tcPr>
          <w:p>
            <w:r>
              <w:t>appliance</w:t>
            </w:r>
          </w:p>
        </w:tc>
        <w:tc>
          <w:tcPr>
            <w:tcW w:type="dxa" w:w="2340"/>
          </w:tcPr>
          <w:p>
            <w:r>
              <w:t>null</w:t>
            </w:r>
          </w:p>
        </w:tc>
        <w:tc>
          <w:tcPr>
            <w:tcW w:type="dxa" w:w="2340"/>
          </w:tcPr>
          <w:p>
            <w:r>
              <w:t>Never</w:t>
            </w:r>
          </w:p>
        </w:tc>
      </w:tr>
    </w:tbl>
    <w:p/>
    <w:p>
      <w:pPr>
        <w:pStyle w:val="Heading3"/>
      </w:pPr>
      <w:r>
        <w:t>Node Licenses</w:t>
      </w:r>
    </w:p>
    <w:p>
      <w:r>
        <w:t>** Note: If a cluster includes nodes with different license types, the cluster and each node in the cluster defaults to the minimum feature set enabled by the lowest license type. For example, if two nodes in the cluster have Ultimate licenses and two nodes in the same cluster have Pro licenses, all nodes effectively have Pro licenses and access to that feature set only. Attempts to access Ultimate features in this case result in a warning in the web console.</w:t>
      </w:r>
    </w:p>
    <w:tbl>
      <w:tblPr>
        <w:tblStyle w:val="NutanixDarkBlueTableGrid5"/>
        <w:tblW w:type="auto" w:w="0"/>
        <w:tblLook w:firstColumn="1" w:firstRow="1" w:lastColumn="0" w:lastRow="0" w:noHBand="0" w:noVBand="1" w:val="04A0"/>
      </w:tblPr>
      <w:tblGrid>
        <w:gridCol w:w="2340"/>
        <w:gridCol w:w="2340"/>
        <w:gridCol w:w="2340"/>
        <w:gridCol w:w="2340"/>
      </w:tblGrid>
      <w:tr>
        <w:tc>
          <w:tcPr>
            <w:tcW w:type="dxa" w:w="2340"/>
          </w:tcPr>
          <w:p>
            <w:r>
              <w:t>Model</w:t>
            </w:r>
          </w:p>
        </w:tc>
        <w:tc>
          <w:tcPr>
            <w:tcW w:type="dxa" w:w="2340"/>
          </w:tcPr>
          <w:p>
            <w:r>
              <w:t>License</w:t>
            </w:r>
          </w:p>
        </w:tc>
        <w:tc>
          <w:tcPr>
            <w:tcW w:type="dxa" w:w="2340"/>
          </w:tcPr>
          <w:p>
            <w:r>
              <w:t>License Type</w:t>
            </w:r>
          </w:p>
        </w:tc>
        <w:tc>
          <w:tcPr>
            <w:tcW w:type="dxa" w:w="2340"/>
          </w:tcPr>
          <w:p>
            <w:r>
              <w:t>Expiration</w:t>
            </w:r>
          </w:p>
        </w:tc>
      </w:tr>
      <w:tr>
        <w:tc>
          <w:tcPr>
            <w:tcW w:type="dxa" w:w="2340"/>
          </w:tcPr>
          <w:p>
            <w:r>
              <w:t>Null</w:t>
            </w:r>
          </w:p>
        </w:tc>
        <w:tc>
          <w:tcPr>
            <w:tcW w:type="dxa" w:w="2340"/>
          </w:tcPr>
          <w:p>
            <w:r>
              <w:t>Starter</w:t>
            </w:r>
          </w:p>
        </w:tc>
        <w:tc>
          <w:tcPr>
            <w:tcW w:type="dxa" w:w="2340"/>
          </w:tcPr>
          <w:p>
            <w:r>
              <w:t>appliance</w:t>
            </w:r>
          </w:p>
        </w:tc>
        <w:tc>
          <w:tcPr>
            <w:tcW w:type="dxa" w:w="2340"/>
          </w:tcPr>
          <w:p>
            <w:r>
              <w:t>Never</w:t>
            </w:r>
          </w:p>
        </w:tc>
      </w:tr>
    </w:tbl>
    <w:p/>
    <w:p>
      <w:pPr>
        <w:pStyle w:val="NutanixHeading2"/>
      </w:pPr>
      <w:r>
        <w:t>Storage Pool and Container Configuration</w:t>
      </w:r>
    </w:p>
    <w:p>
      <w:pPr>
        <w:pStyle w:val="Heading3"/>
      </w:pPr>
      <w:r>
        <w:t>Containers</w:t>
      </w:r>
    </w:p>
    <w:tbl>
      <w:tblPr>
        <w:tblStyle w:val="NutanixDarkBlueTableGrid5"/>
        <w:tblW w:type="auto" w:w="0"/>
        <w:tblLook w:firstColumn="1" w:firstRow="1" w:lastColumn="0" w:lastRow="0" w:noHBand="0" w:noVBand="1" w:val="04A0"/>
      </w:tblPr>
      <w:tblGrid>
        <w:gridCol w:w="1872"/>
        <w:gridCol w:w="1872"/>
        <w:gridCol w:w="1872"/>
        <w:gridCol w:w="1872"/>
        <w:gridCol w:w="1872"/>
      </w:tblGrid>
      <w:tr>
        <w:tc>
          <w:tcPr>
            <w:tcW w:type="dxa" w:w="1872"/>
          </w:tcPr>
          <w:p>
            <w:r>
              <w:t>Container Name</w:t>
            </w:r>
          </w:p>
        </w:tc>
        <w:tc>
          <w:tcPr>
            <w:tcW w:type="dxa" w:w="1872"/>
          </w:tcPr>
          <w:p>
            <w:r>
              <w:t>Max Usable Capacity</w:t>
            </w:r>
          </w:p>
        </w:tc>
        <w:tc>
          <w:tcPr>
            <w:tcW w:type="dxa" w:w="1872"/>
          </w:tcPr>
          <w:p>
            <w:r>
              <w:t>Total Raw Capacity</w:t>
            </w:r>
          </w:p>
        </w:tc>
        <w:tc>
          <w:tcPr>
            <w:tcW w:type="dxa" w:w="1872"/>
          </w:tcPr>
          <w:p>
            <w:r>
              <w:t>Reserved Capacity</w:t>
            </w:r>
          </w:p>
        </w:tc>
        <w:tc>
          <w:tcPr>
            <w:tcW w:type="dxa" w:w="1872"/>
          </w:tcPr>
          <w:p>
            <w:r>
              <w:t>NFS Whitelist</w:t>
            </w:r>
          </w:p>
        </w:tc>
      </w:tr>
      <w:tr>
        <w:tc>
          <w:tcPr>
            <w:tcW w:type="dxa" w:w="1872"/>
          </w:tcPr>
          <w:p>
            <w:r>
              <w:t>SelfServiceContainer</w:t>
            </w:r>
          </w:p>
        </w:tc>
        <w:tc>
          <w:tcPr>
            <w:tcW w:type="dxa" w:w="1872"/>
          </w:tcPr>
          <w:p>
            <w:r>
              <w:t>287.14 GB</w:t>
            </w:r>
          </w:p>
        </w:tc>
        <w:tc>
          <w:tcPr>
            <w:tcW w:type="dxa" w:w="1872"/>
          </w:tcPr>
          <w:p>
            <w:r>
              <w:t>287.14 GB</w:t>
            </w:r>
          </w:p>
        </w:tc>
        <w:tc>
          <w:tcPr>
            <w:tcW w:type="dxa" w:w="1872"/>
          </w:tcPr>
          <w:p>
            <w:r>
              <w:t>0.00 MB</w:t>
            </w:r>
          </w:p>
        </w:tc>
        <w:tc>
          <w:tcPr>
            <w:tcW w:type="dxa" w:w="1872"/>
          </w:tcPr>
          <w:p>
            <w:r/>
          </w:p>
        </w:tc>
      </w:tr>
      <w:tr>
        <w:tc>
          <w:tcPr>
            <w:tcW w:type="dxa" w:w="1872"/>
          </w:tcPr>
          <w:p>
            <w:r>
              <w:t>Images</w:t>
            </w:r>
          </w:p>
        </w:tc>
        <w:tc>
          <w:tcPr>
            <w:tcW w:type="dxa" w:w="1872"/>
          </w:tcPr>
          <w:p>
            <w:r>
              <w:t>287.14 GB</w:t>
            </w:r>
          </w:p>
        </w:tc>
        <w:tc>
          <w:tcPr>
            <w:tcW w:type="dxa" w:w="1872"/>
          </w:tcPr>
          <w:p>
            <w:r>
              <w:t>287.14 GB</w:t>
            </w:r>
          </w:p>
        </w:tc>
        <w:tc>
          <w:tcPr>
            <w:tcW w:type="dxa" w:w="1872"/>
          </w:tcPr>
          <w:p>
            <w:r>
              <w:t>0.00 MB</w:t>
            </w:r>
          </w:p>
        </w:tc>
        <w:tc>
          <w:tcPr>
            <w:tcW w:type="dxa" w:w="1872"/>
          </w:tcPr>
          <w:p>
            <w:r/>
          </w:p>
        </w:tc>
      </w:tr>
      <w:tr>
        <w:tc>
          <w:tcPr>
            <w:tcW w:type="dxa" w:w="1872"/>
          </w:tcPr>
          <w:p>
            <w:r>
              <w:t>default-container-999</w:t>
            </w:r>
          </w:p>
        </w:tc>
        <w:tc>
          <w:tcPr>
            <w:tcW w:type="dxa" w:w="1872"/>
          </w:tcPr>
          <w:p>
            <w:r>
              <w:t>287.14 GB</w:t>
            </w:r>
          </w:p>
        </w:tc>
        <w:tc>
          <w:tcPr>
            <w:tcW w:type="dxa" w:w="1872"/>
          </w:tcPr>
          <w:p>
            <w:r>
              <w:t>287.14 GB</w:t>
            </w:r>
          </w:p>
        </w:tc>
        <w:tc>
          <w:tcPr>
            <w:tcW w:type="dxa" w:w="1872"/>
          </w:tcPr>
          <w:p>
            <w:r>
              <w:t>0.00 MB</w:t>
            </w:r>
          </w:p>
        </w:tc>
        <w:tc>
          <w:tcPr>
            <w:tcW w:type="dxa" w:w="1872"/>
          </w:tcPr>
          <w:p>
            <w:r/>
          </w:p>
        </w:tc>
      </w:tr>
      <w:tr>
        <w:tc>
          <w:tcPr>
            <w:tcW w:type="dxa" w:w="1872"/>
          </w:tcPr>
          <w:p>
            <w:r>
              <w:t>NutanixManagementShare</w:t>
            </w:r>
          </w:p>
        </w:tc>
        <w:tc>
          <w:tcPr>
            <w:tcW w:type="dxa" w:w="1872"/>
          </w:tcPr>
          <w:p>
            <w:r>
              <w:t>287.14 GB</w:t>
            </w:r>
          </w:p>
        </w:tc>
        <w:tc>
          <w:tcPr>
            <w:tcW w:type="dxa" w:w="1872"/>
          </w:tcPr>
          <w:p>
            <w:r>
              <w:t>287.14 GB</w:t>
            </w:r>
          </w:p>
        </w:tc>
        <w:tc>
          <w:tcPr>
            <w:tcW w:type="dxa" w:w="1872"/>
          </w:tcPr>
          <w:p>
            <w:r>
              <w:t>0.00 MB</w:t>
            </w:r>
          </w:p>
        </w:tc>
        <w:tc>
          <w:tcPr>
            <w:tcW w:type="dxa" w:w="1872"/>
          </w:tcPr>
          <w:p>
            <w:r/>
          </w:p>
        </w:tc>
      </w:tr>
    </w:tbl>
    <w:p/>
    <w:p>
      <w:pPr>
        <w:pStyle w:val="Heading3"/>
      </w:pPr>
      <w:r>
        <w:t>Container Options</w:t>
      </w:r>
    </w:p>
    <w:tbl>
      <w:tblPr>
        <w:tblStyle w:val="NutanixDarkBlueTableGrid5"/>
        <w:tblW w:type="auto" w:w="0"/>
        <w:tblLook w:firstColumn="1" w:firstRow="1" w:lastColumn="0" w:lastRow="0" w:noHBand="0" w:noVBand="1" w:val="04A0"/>
      </w:tblPr>
      <w:tblGrid>
        <w:gridCol w:w="1337"/>
        <w:gridCol w:w="1337"/>
        <w:gridCol w:w="1337"/>
        <w:gridCol w:w="1337"/>
        <w:gridCol w:w="1337"/>
        <w:gridCol w:w="1337"/>
        <w:gridCol w:w="1337"/>
      </w:tblGrid>
      <w:tr>
        <w:tc>
          <w:tcPr>
            <w:tcW w:type="dxa" w:w="1337"/>
          </w:tcPr>
          <w:p>
            <w:r>
              <w:t>Container Name</w:t>
            </w:r>
          </w:p>
        </w:tc>
        <w:tc>
          <w:tcPr>
            <w:tcW w:type="dxa" w:w="1337"/>
          </w:tcPr>
          <w:p>
            <w:r>
              <w:t>RF</w:t>
            </w:r>
          </w:p>
        </w:tc>
        <w:tc>
          <w:tcPr>
            <w:tcW w:type="dxa" w:w="1337"/>
          </w:tcPr>
          <w:p>
            <w:r>
              <w:t>Compression Enabled</w:t>
            </w:r>
          </w:p>
        </w:tc>
        <w:tc>
          <w:tcPr>
            <w:tcW w:type="dxa" w:w="1337"/>
          </w:tcPr>
          <w:p>
            <w:r>
              <w:t>Compression Delay (InSecs)</w:t>
            </w:r>
          </w:p>
        </w:tc>
        <w:tc>
          <w:tcPr>
            <w:tcW w:type="dxa" w:w="1337"/>
          </w:tcPr>
          <w:p>
            <w:r>
              <w:t>SSD Dedup</w:t>
            </w:r>
          </w:p>
        </w:tc>
        <w:tc>
          <w:tcPr>
            <w:tcW w:type="dxa" w:w="1337"/>
          </w:tcPr>
          <w:p>
            <w:r>
              <w:t>HDD Dedup</w:t>
            </w:r>
          </w:p>
        </w:tc>
        <w:tc>
          <w:tcPr>
            <w:tcW w:type="dxa" w:w="1337"/>
          </w:tcPr>
          <w:p>
            <w:r>
              <w:t>Erasure Coding</w:t>
            </w:r>
          </w:p>
        </w:tc>
      </w:tr>
      <w:tr>
        <w:tc>
          <w:tcPr>
            <w:tcW w:type="dxa" w:w="1337"/>
          </w:tcPr>
          <w:p>
            <w:r>
              <w:t>SelfServiceContainer</w:t>
            </w:r>
          </w:p>
        </w:tc>
        <w:tc>
          <w:tcPr>
            <w:tcW w:type="dxa" w:w="1337"/>
          </w:tcPr>
          <w:p>
            <w:r>
              <w:t>1</w:t>
            </w:r>
          </w:p>
        </w:tc>
        <w:tc>
          <w:tcPr>
            <w:tcW w:type="dxa" w:w="1337"/>
          </w:tcPr>
          <w:p>
            <w:r>
              <w:t>False</w:t>
            </w:r>
          </w:p>
        </w:tc>
        <w:tc>
          <w:tcPr>
            <w:tcW w:type="dxa" w:w="1337"/>
          </w:tcPr>
          <w:p>
            <w:r>
              <w:t>None</w:t>
            </w:r>
          </w:p>
        </w:tc>
        <w:tc>
          <w:tcPr>
            <w:tcW w:type="dxa" w:w="1337"/>
          </w:tcPr>
          <w:p>
            <w:r>
              <w:t>off</w:t>
            </w:r>
          </w:p>
        </w:tc>
        <w:tc>
          <w:tcPr>
            <w:tcW w:type="dxa" w:w="1337"/>
          </w:tcPr>
          <w:p>
            <w:r>
              <w:t>OFF</w:t>
            </w:r>
          </w:p>
        </w:tc>
        <w:tc>
          <w:tcPr>
            <w:tcW w:type="dxa" w:w="1337"/>
          </w:tcPr>
          <w:p>
            <w:r>
              <w:t>off</w:t>
            </w:r>
          </w:p>
        </w:tc>
      </w:tr>
      <w:tr>
        <w:tc>
          <w:tcPr>
            <w:tcW w:type="dxa" w:w="1337"/>
          </w:tcPr>
          <w:p>
            <w:r>
              <w:t>Images</w:t>
            </w:r>
          </w:p>
        </w:tc>
        <w:tc>
          <w:tcPr>
            <w:tcW w:type="dxa" w:w="1337"/>
          </w:tcPr>
          <w:p>
            <w:r>
              <w:t>1</w:t>
            </w:r>
          </w:p>
        </w:tc>
        <w:tc>
          <w:tcPr>
            <w:tcW w:type="dxa" w:w="1337"/>
          </w:tcPr>
          <w:p>
            <w:r>
              <w:t>True</w:t>
            </w:r>
          </w:p>
        </w:tc>
        <w:tc>
          <w:tcPr>
            <w:tcW w:type="dxa" w:w="1337"/>
          </w:tcPr>
          <w:p>
            <w:r>
              <w:t>3600</w:t>
            </w:r>
          </w:p>
        </w:tc>
        <w:tc>
          <w:tcPr>
            <w:tcW w:type="dxa" w:w="1337"/>
          </w:tcPr>
          <w:p>
            <w:r>
              <w:t>off</w:t>
            </w:r>
          </w:p>
        </w:tc>
        <w:tc>
          <w:tcPr>
            <w:tcW w:type="dxa" w:w="1337"/>
          </w:tcPr>
          <w:p>
            <w:r>
              <w:t>OFF</w:t>
            </w:r>
          </w:p>
        </w:tc>
        <w:tc>
          <w:tcPr>
            <w:tcW w:type="dxa" w:w="1337"/>
          </w:tcPr>
          <w:p>
            <w:r>
              <w:t>off</w:t>
            </w:r>
          </w:p>
        </w:tc>
      </w:tr>
      <w:tr>
        <w:tc>
          <w:tcPr>
            <w:tcW w:type="dxa" w:w="1337"/>
          </w:tcPr>
          <w:p>
            <w:r>
              <w:t>default-container-999</w:t>
            </w:r>
          </w:p>
        </w:tc>
        <w:tc>
          <w:tcPr>
            <w:tcW w:type="dxa" w:w="1337"/>
          </w:tcPr>
          <w:p>
            <w:r>
              <w:t>1</w:t>
            </w:r>
          </w:p>
        </w:tc>
        <w:tc>
          <w:tcPr>
            <w:tcW w:type="dxa" w:w="1337"/>
          </w:tcPr>
          <w:p>
            <w:r>
              <w:t>False</w:t>
            </w:r>
          </w:p>
        </w:tc>
        <w:tc>
          <w:tcPr>
            <w:tcW w:type="dxa" w:w="1337"/>
          </w:tcPr>
          <w:p>
            <w:r>
              <w:t>None</w:t>
            </w:r>
          </w:p>
        </w:tc>
        <w:tc>
          <w:tcPr>
            <w:tcW w:type="dxa" w:w="1337"/>
          </w:tcPr>
          <w:p>
            <w:r>
              <w:t>off</w:t>
            </w:r>
          </w:p>
        </w:tc>
        <w:tc>
          <w:tcPr>
            <w:tcW w:type="dxa" w:w="1337"/>
          </w:tcPr>
          <w:p>
            <w:r>
              <w:t>OFF</w:t>
            </w:r>
          </w:p>
        </w:tc>
        <w:tc>
          <w:tcPr>
            <w:tcW w:type="dxa" w:w="1337"/>
          </w:tcPr>
          <w:p>
            <w:r>
              <w:t>off</w:t>
            </w:r>
          </w:p>
        </w:tc>
      </w:tr>
      <w:tr>
        <w:tc>
          <w:tcPr>
            <w:tcW w:type="dxa" w:w="1337"/>
          </w:tcPr>
          <w:p>
            <w:r>
              <w:t>NutanixManagementShare</w:t>
            </w:r>
          </w:p>
        </w:tc>
        <w:tc>
          <w:tcPr>
            <w:tcW w:type="dxa" w:w="1337"/>
          </w:tcPr>
          <w:p>
            <w:r>
              <w:t>1</w:t>
            </w:r>
          </w:p>
        </w:tc>
        <w:tc>
          <w:tcPr>
            <w:tcW w:type="dxa" w:w="1337"/>
          </w:tcPr>
          <w:p>
            <w:r>
              <w:t>True</w:t>
            </w:r>
          </w:p>
        </w:tc>
        <w:tc>
          <w:tcPr>
            <w:tcW w:type="dxa" w:w="1337"/>
          </w:tcPr>
          <w:p>
            <w:r>
              <w:t>None</w:t>
            </w:r>
          </w:p>
        </w:tc>
        <w:tc>
          <w:tcPr>
            <w:tcW w:type="dxa" w:w="1337"/>
          </w:tcPr>
          <w:p>
            <w:r>
              <w:t>off</w:t>
            </w:r>
          </w:p>
        </w:tc>
        <w:tc>
          <w:tcPr>
            <w:tcW w:type="dxa" w:w="1337"/>
          </w:tcPr>
          <w:p>
            <w:r>
              <w:t>OFF</w:t>
            </w:r>
          </w:p>
        </w:tc>
        <w:tc>
          <w:tcPr>
            <w:tcW w:type="dxa" w:w="1337"/>
          </w:tcPr>
          <w:p>
            <w:r>
              <w:t>off</w:t>
            </w:r>
          </w:p>
        </w:tc>
      </w:tr>
    </w:tbl>
    <w:p/>
    <w:p>
      <w:pPr>
        <w:pStyle w:val="Heading3"/>
      </w:pPr>
      <w:r>
        <w:t>Storage Pools</w:t>
      </w:r>
    </w:p>
    <w:tbl>
      <w:tblPr>
        <w:tblStyle w:val="NutanixDarkBlueTableGrid5"/>
        <w:tblW w:type="auto" w:w="0"/>
        <w:tblLook w:firstColumn="1" w:firstRow="1" w:lastColumn="0" w:lastRow="0" w:noHBand="0" w:noVBand="1" w:val="04A0"/>
      </w:tblPr>
      <w:tblGrid>
        <w:gridCol w:w="2340"/>
        <w:gridCol w:w="2340"/>
        <w:gridCol w:w="2340"/>
        <w:gridCol w:w="2340"/>
      </w:tblGrid>
      <w:tr>
        <w:tc>
          <w:tcPr>
            <w:tcW w:type="dxa" w:w="2340"/>
          </w:tcPr>
          <w:p>
            <w:r>
              <w:t>Name</w:t>
            </w:r>
          </w:p>
        </w:tc>
        <w:tc>
          <w:tcPr>
            <w:tcW w:type="dxa" w:w="2340"/>
          </w:tcPr>
          <w:p>
            <w:r>
              <w:t>Storage Pool ID</w:t>
            </w:r>
          </w:p>
        </w:tc>
        <w:tc>
          <w:tcPr>
            <w:tcW w:type="dxa" w:w="2340"/>
          </w:tcPr>
          <w:p>
            <w:r>
              <w:t>Max Capacity</w:t>
            </w:r>
          </w:p>
        </w:tc>
        <w:tc>
          <w:tcPr>
            <w:tcW w:type="dxa" w:w="2340"/>
          </w:tcPr>
          <w:p>
            <w:r>
              <w:t>ILM Threshold</w:t>
            </w:r>
          </w:p>
        </w:tc>
      </w:tr>
      <w:tr>
        <w:tc>
          <w:tcPr>
            <w:tcW w:type="dxa" w:w="2340"/>
          </w:tcPr>
          <w:p>
            <w:r>
              <w:t>default-storage-pool-999</w:t>
            </w:r>
          </w:p>
        </w:tc>
        <w:tc>
          <w:tcPr>
            <w:tcW w:type="dxa" w:w="2340"/>
          </w:tcPr>
          <w:p>
            <w:r>
              <w:t>5ad0870d-c43d-4b2d-92b2-63002151b242</w:t>
            </w:r>
          </w:p>
        </w:tc>
        <w:tc>
          <w:tcPr>
            <w:tcW w:type="dxa" w:w="2340"/>
          </w:tcPr>
          <w:p>
            <w:r>
              <w:t>287.14 GB</w:t>
            </w:r>
          </w:p>
        </w:tc>
        <w:tc>
          <w:tcPr>
            <w:tcW w:type="dxa" w:w="2340"/>
          </w:tcPr>
          <w:p>
            <w:r>
              <w:t>75</w:t>
            </w:r>
          </w:p>
        </w:tc>
      </w:tr>
    </w:tbl>
    <w:p/>
    <w:p>
      <w:pPr>
        <w:pStyle w:val="NutanixHeading2"/>
      </w:pPr>
      <w:r>
        <w:t>Nutanix CVM settings</w:t>
      </w:r>
    </w:p>
    <w:tbl>
      <w:tblPr>
        <w:tblStyle w:val="NutanixDarkBlueTableGrid5"/>
        <w:tblW w:type="auto" w:w="0"/>
        <w:tblLook w:firstColumn="1" w:firstRow="1" w:lastColumn="0" w:lastRow="0" w:noHBand="0" w:noVBand="1" w:val="04A0"/>
      </w:tblPr>
      <w:tblGrid>
        <w:gridCol w:w="2340"/>
        <w:gridCol w:w="2340"/>
        <w:gridCol w:w="2340"/>
        <w:gridCol w:w="2340"/>
      </w:tblGrid>
      <w:tr>
        <w:tc>
          <w:tcPr>
            <w:tcW w:type="dxa" w:w="2340"/>
          </w:tcPr>
          <w:p>
            <w:r>
              <w:t>CVM Name</w:t>
            </w:r>
          </w:p>
        </w:tc>
        <w:tc>
          <w:tcPr>
            <w:tcW w:type="dxa" w:w="2340"/>
          </w:tcPr>
          <w:p>
            <w:r>
              <w:t>Memory</w:t>
            </w:r>
          </w:p>
        </w:tc>
        <w:tc>
          <w:tcPr>
            <w:tcW w:type="dxa" w:w="2340"/>
          </w:tcPr>
          <w:p>
            <w:r>
              <w:t>vCPU</w:t>
            </w:r>
          </w:p>
        </w:tc>
        <w:tc>
          <w:tcPr>
            <w:tcW w:type="dxa" w:w="2340"/>
          </w:tcPr>
          <w:p>
            <w:r>
              <w:t>IP Address</w:t>
            </w:r>
          </w:p>
        </w:tc>
      </w:tr>
      <w:tr>
        <w:tc>
          <w:tcPr>
            <w:tcW w:type="dxa" w:w="2340"/>
          </w:tcPr>
          <w:p>
            <w:r>
              <w:t>NTNX-172-30-0-5-A-CVM</w:t>
            </w:r>
          </w:p>
        </w:tc>
        <w:tc>
          <w:tcPr>
            <w:tcW w:type="dxa" w:w="2340"/>
          </w:tcPr>
          <w:p>
            <w:r>
              <w:t>64.00 MB</w:t>
            </w:r>
          </w:p>
        </w:tc>
        <w:tc>
          <w:tcPr>
            <w:tcW w:type="dxa" w:w="2340"/>
          </w:tcPr>
          <w:p>
            <w:r>
              <w:t>1</w:t>
            </w:r>
          </w:p>
        </w:tc>
        <w:tc>
          <w:tcPr>
            <w:tcW w:type="dxa" w:w="2340"/>
          </w:tcPr>
          <w:p>
            <w:r/>
          </w:p>
        </w:tc>
      </w:tr>
    </w:tbl>
    <w:p/>
    <w:p>
      <w:pPr>
        <w:pStyle w:val="NutanixHeading2"/>
      </w:pPr>
      <w:r>
        <w:t>Nutanix Prism Settings</w:t>
      </w:r>
    </w:p>
    <w:p>
      <w:pPr>
        <w:pStyle w:val="Heading3"/>
      </w:pPr>
      <w:r>
        <w:t>SNMP</w:t>
      </w:r>
    </w:p>
    <w:tbl>
      <w:tblPr>
        <w:tblStyle w:val="NutanixMediumBlueTableGrid6"/>
        <w:tblW w:type="auto" w:w="0"/>
        <w:tblLook w:firstColumn="1" w:firstRow="1" w:lastColumn="0" w:lastRow="0" w:noHBand="0" w:noVBand="1" w:val="04A0"/>
      </w:tblPr>
      <w:tblGrid>
        <w:gridCol w:w="3120"/>
        <w:gridCol w:w="3120"/>
        <w:gridCol w:w="3120"/>
      </w:tblGrid>
      <w:tr>
        <w:tc>
          <w:tcPr>
            <w:tcW w:type="dxa" w:w="3120"/>
          </w:tcPr>
          <w:p>
            <w:r>
              <w:t>User Name</w:t>
            </w:r>
          </w:p>
        </w:tc>
        <w:tc>
          <w:tcPr>
            <w:tcW w:type="dxa" w:w="3120"/>
          </w:tcPr>
          <w:p>
            <w:r>
              <w:t>Privacy Type</w:t>
            </w:r>
          </w:p>
        </w:tc>
        <w:tc>
          <w:tcPr>
            <w:tcW w:type="dxa" w:w="3120"/>
          </w:tcPr>
          <w:p>
            <w:r>
              <w:t>Auth Type</w:t>
            </w:r>
          </w:p>
        </w:tc>
      </w:tr>
    </w:tbl>
    <w:p/>
    <w:tbl>
      <w:tblPr>
        <w:tblStyle w:val="NutanixMediumBlueTableGrid6"/>
        <w:tblW w:type="auto" w:w="0"/>
        <w:tblLook w:firstColumn="1" w:firstRow="1" w:lastColumn="0" w:lastRow="0" w:noHBand="0" w:noVBand="1" w:val="04A0"/>
      </w:tblPr>
      <w:tblGrid>
        <w:gridCol w:w="1560"/>
        <w:gridCol w:w="1560"/>
        <w:gridCol w:w="1560"/>
        <w:gridCol w:w="1560"/>
        <w:gridCol w:w="1560"/>
        <w:gridCol w:w="1560"/>
      </w:tblGrid>
      <w:tr>
        <w:tc>
          <w:tcPr>
            <w:tcW w:type="dxa" w:w="1560"/>
          </w:tcPr>
          <w:p>
            <w:r>
              <w:t>Trap Addr</w:t>
            </w:r>
          </w:p>
        </w:tc>
        <w:tc>
          <w:tcPr>
            <w:tcW w:type="dxa" w:w="1560"/>
          </w:tcPr>
          <w:p>
            <w:r>
              <w:t>Port</w:t>
            </w:r>
          </w:p>
        </w:tc>
        <w:tc>
          <w:tcPr>
            <w:tcW w:type="dxa" w:w="1560"/>
          </w:tcPr>
          <w:p>
            <w:r>
              <w:t>Protocol</w:t>
            </w:r>
          </w:p>
        </w:tc>
        <w:tc>
          <w:tcPr>
            <w:tcW w:type="dxa" w:w="1560"/>
          </w:tcPr>
          <w:p>
            <w:r>
              <w:t>Trap User Name</w:t>
            </w:r>
          </w:p>
        </w:tc>
        <w:tc>
          <w:tcPr>
            <w:tcW w:type="dxa" w:w="1560"/>
          </w:tcPr>
          <w:p>
            <w:r>
              <w:t>Engine ID</w:t>
            </w:r>
          </w:p>
        </w:tc>
        <w:tc>
          <w:tcPr>
            <w:tcW w:type="dxa" w:w="1560"/>
          </w:tcPr>
          <w:p>
            <w:r>
              <w:t>Inform</w:t>
            </w:r>
          </w:p>
        </w:tc>
      </w:tr>
    </w:tbl>
    <w:p/>
    <w:p>
      <w:pPr>
        <w:pStyle w:val="Heading3"/>
      </w:pPr>
      <w:r>
        <w:t>SMTP</w:t>
      </w:r>
    </w:p>
    <w:tbl>
      <w:tblPr>
        <w:tblStyle w:val="NutanixDarkBlueTableGrid5"/>
        <w:tblW w:type="auto" w:w="0"/>
        <w:tblLook w:firstColumn="1" w:firstRow="1" w:lastColumn="0" w:lastRow="0" w:noHBand="0" w:noVBand="1" w:val="04A0"/>
      </w:tblPr>
      <w:tblGrid>
        <w:gridCol w:w="1872"/>
        <w:gridCol w:w="1872"/>
        <w:gridCol w:w="1872"/>
        <w:gridCol w:w="1872"/>
        <w:gridCol w:w="1872"/>
      </w:tblGrid>
      <w:tr>
        <w:tc>
          <w:tcPr>
            <w:tcW w:type="dxa" w:w="1872"/>
          </w:tcPr>
          <w:p>
            <w:r>
              <w:t>Host Name</w:t>
            </w:r>
          </w:p>
        </w:tc>
        <w:tc>
          <w:tcPr>
            <w:tcW w:type="dxa" w:w="1872"/>
          </w:tcPr>
          <w:p>
            <w:r>
              <w:t>Port</w:t>
            </w:r>
          </w:p>
        </w:tc>
        <w:tc>
          <w:tcPr>
            <w:tcW w:type="dxa" w:w="1872"/>
          </w:tcPr>
          <w:p>
            <w:r>
              <w:t>Security Mode</w:t>
            </w:r>
          </w:p>
        </w:tc>
        <w:tc>
          <w:tcPr>
            <w:tcW w:type="dxa" w:w="1872"/>
          </w:tcPr>
          <w:p>
            <w:r>
              <w:t>User Name</w:t>
            </w:r>
          </w:p>
        </w:tc>
        <w:tc>
          <w:tcPr>
            <w:tcW w:type="dxa" w:w="1872"/>
          </w:tcPr>
          <w:p>
            <w:r>
              <w:t>From Email Address</w:t>
            </w:r>
          </w:p>
        </w:tc>
      </w:tr>
      <w:tr>
        <w:tc>
          <w:tcPr>
            <w:tcW w:type="dxa" w:w="1872"/>
          </w:tcPr>
          <w:p>
            <w:r>
              <w:t>None</w:t>
            </w:r>
          </w:p>
        </w:tc>
        <w:tc>
          <w:tcPr>
            <w:tcW w:type="dxa" w:w="1872"/>
          </w:tcPr>
          <w:p>
            <w:r>
              <w:t>None</w:t>
            </w:r>
          </w:p>
        </w:tc>
        <w:tc>
          <w:tcPr>
            <w:tcW w:type="dxa" w:w="1872"/>
          </w:tcPr>
          <w:p>
            <w:r>
              <w:t>None</w:t>
            </w:r>
          </w:p>
        </w:tc>
        <w:tc>
          <w:tcPr>
            <w:tcW w:type="dxa" w:w="1872"/>
          </w:tcPr>
          <w:p>
            <w:r>
              <w:t>None</w:t>
            </w:r>
          </w:p>
        </w:tc>
        <w:tc>
          <w:tcPr>
            <w:tcW w:type="dxa" w:w="1872"/>
          </w:tcPr>
          <w:p>
            <w:r>
              <w:t>None</w:t>
            </w:r>
          </w:p>
        </w:tc>
      </w:tr>
    </w:tbl>
    <w:p/>
    <w:p>
      <w:pPr>
        <w:pStyle w:val="NutanixHeading2"/>
      </w:pPr>
      <w:r>
        <w:t>Authentication Information</w:t>
      </w:r>
    </w:p>
    <w:p>
      <w:pPr>
        <w:pStyle w:val="Heading3"/>
      </w:pPr>
      <w:r>
        <w:t>Authentication</w:t>
      </w:r>
    </w:p>
    <w:tbl>
      <w:tblPr>
        <w:tblStyle w:val="NutanixMediumBlueTableGrid6"/>
        <w:tblW w:type="auto" w:w="0"/>
        <w:tblLook w:firstColumn="1" w:firstRow="1" w:lastColumn="0" w:lastRow="0" w:noHBand="0" w:noVBand="1" w:val="04A0"/>
      </w:tblPr>
      <w:tblGrid>
        <w:gridCol w:w="9360"/>
      </w:tblGrid>
      <w:tr>
        <w:tc>
          <w:tcPr>
            <w:tcW w:type="dxa" w:w="9360"/>
          </w:tcPr>
          <w:p>
            <w:r>
              <w:t>Authentication Types</w:t>
            </w:r>
          </w:p>
        </w:tc>
      </w:tr>
      <w:tr>
        <w:tc>
          <w:tcPr>
            <w:tcW w:type="dxa" w:w="9360"/>
          </w:tcPr>
          <w:p>
            <w:r>
              <w:t>LOCAL</w:t>
            </w:r>
          </w:p>
        </w:tc>
      </w:tr>
    </w:tbl>
    <w:p/>
    <w:p>
      <w:pPr>
        <w:pStyle w:val="Heading3"/>
      </w:pPr>
      <w:r>
        <w:t>Directory List</w:t>
      </w:r>
    </w:p>
    <w:tbl>
      <w:tblPr>
        <w:tblStyle w:val="NutanixDarkBlueTableGrid5"/>
        <w:tblW w:type="auto" w:w="0"/>
        <w:tblLook w:firstColumn="1" w:firstRow="1" w:lastColumn="0" w:lastRow="0" w:noHBand="0" w:noVBand="1" w:val="04A0"/>
      </w:tblPr>
      <w:tblGrid>
        <w:gridCol w:w="1872"/>
        <w:gridCol w:w="1872"/>
        <w:gridCol w:w="1872"/>
        <w:gridCol w:w="1872"/>
        <w:gridCol w:w="1872"/>
      </w:tblGrid>
      <w:tr>
        <w:tc>
          <w:tcPr>
            <w:tcW w:type="dxa" w:w="1872"/>
          </w:tcPr>
          <w:p>
            <w:r>
              <w:t>Name</w:t>
            </w:r>
          </w:p>
        </w:tc>
        <w:tc>
          <w:tcPr>
            <w:tcW w:type="dxa" w:w="1872"/>
          </w:tcPr>
          <w:p>
            <w:r>
              <w:t>Directory Type</w:t>
            </w:r>
          </w:p>
        </w:tc>
        <w:tc>
          <w:tcPr>
            <w:tcW w:type="dxa" w:w="1872"/>
          </w:tcPr>
          <w:p>
            <w:r>
              <w:t>Connection Type</w:t>
            </w:r>
          </w:p>
        </w:tc>
        <w:tc>
          <w:tcPr>
            <w:tcW w:type="dxa" w:w="1872"/>
          </w:tcPr>
          <w:p>
            <w:r>
              <w:t>Directory URL</w:t>
            </w:r>
          </w:p>
        </w:tc>
        <w:tc>
          <w:tcPr>
            <w:tcW w:type="dxa" w:w="1872"/>
          </w:tcPr>
          <w:p>
            <w:r>
              <w:t>Domain</w:t>
            </w:r>
          </w:p>
        </w:tc>
      </w:tr>
    </w:tbl>
    <w:p/>
    <w:p>
      <w:pPr>
        <w:pStyle w:val="NutanixHeading2"/>
      </w:pPr>
      <w:r>
        <w:t>Data Protection Information</w:t>
      </w:r>
    </w:p>
    <w:p>
      <w:pPr>
        <w:pStyle w:val="Heading3"/>
      </w:pPr>
      <w:r>
        <w:t>Protection Domains</w:t>
      </w:r>
    </w:p>
    <w:tbl>
      <w:tblPr>
        <w:tblStyle w:val="NutanixDarkBlueTableGrid5"/>
        <w:tblW w:type="auto" w:w="0"/>
        <w:tblLook w:firstColumn="1" w:firstRow="1" w:lastColumn="0" w:lastRow="0" w:noHBand="0" w:noVBand="1" w:val="04A0"/>
      </w:tblPr>
      <w:tblGrid>
        <w:gridCol w:w="4680"/>
        <w:gridCol w:w="4680"/>
      </w:tblGrid>
      <w:tr>
        <w:tc>
          <w:tcPr>
            <w:tcW w:type="dxa" w:w="4680"/>
          </w:tcPr>
          <w:p>
            <w:r>
              <w:t>Name</w:t>
            </w:r>
          </w:p>
        </w:tc>
        <w:tc>
          <w:tcPr>
            <w:tcW w:type="dxa" w:w="4680"/>
          </w:tcPr>
          <w:p>
            <w:r>
              <w:t>Active</w:t>
            </w:r>
          </w:p>
        </w:tc>
      </w:tr>
      <w:tr>
        <w:tc>
          <w:tcPr>
            <w:tcW w:type="dxa" w:w="4680"/>
          </w:tcPr>
          <w:p>
            <w:r>
              <w:t>prod-env-pd</w:t>
            </w:r>
          </w:p>
        </w:tc>
        <w:tc>
          <w:tcPr>
            <w:tcW w:type="dxa" w:w="4680"/>
          </w:tcPr>
          <w:p>
            <w:r>
              <w:t>True</w:t>
            </w:r>
          </w:p>
        </w:tc>
      </w:tr>
    </w:tbl>
    <w:p/>
    <w:p>
      <w:pPr>
        <w:pStyle w:val="Heading3"/>
      </w:pPr>
      <w:r>
        <w:t>Metro Availability</w:t>
      </w:r>
    </w:p>
    <w:tbl>
      <w:tblPr>
        <w:tblStyle w:val="NutanixMediumBlueTableGrid6"/>
        <w:tblW w:type="auto" w:w="0"/>
        <w:tblLook w:firstColumn="1" w:firstRow="1" w:lastColumn="0" w:lastRow="0" w:noHBand="0" w:noVBand="1" w:val="04A0"/>
      </w:tblPr>
      <w:tblGrid>
        <w:gridCol w:w="1560"/>
        <w:gridCol w:w="1560"/>
        <w:gridCol w:w="1560"/>
        <w:gridCol w:w="1560"/>
        <w:gridCol w:w="1560"/>
        <w:gridCol w:w="1560"/>
      </w:tblGrid>
      <w:tr>
        <w:tc>
          <w:tcPr>
            <w:tcW w:type="dxa" w:w="1560"/>
          </w:tcPr>
          <w:p>
            <w:r>
              <w:t>Protection Domain</w:t>
            </w:r>
          </w:p>
        </w:tc>
        <w:tc>
          <w:tcPr>
            <w:tcW w:type="dxa" w:w="1560"/>
          </w:tcPr>
          <w:p>
            <w:r>
              <w:t>Status</w:t>
            </w:r>
          </w:p>
        </w:tc>
        <w:tc>
          <w:tcPr>
            <w:tcW w:type="dxa" w:w="1560"/>
          </w:tcPr>
          <w:p>
            <w:r>
              <w:t>Storage Container</w:t>
            </w:r>
          </w:p>
        </w:tc>
        <w:tc>
          <w:tcPr>
            <w:tcW w:type="dxa" w:w="1560"/>
          </w:tcPr>
          <w:p>
            <w:r>
              <w:t>Remote Site</w:t>
            </w:r>
          </w:p>
        </w:tc>
        <w:tc>
          <w:tcPr>
            <w:tcW w:type="dxa" w:w="1560"/>
          </w:tcPr>
          <w:p>
            <w:r>
              <w:t>Role</w:t>
            </w:r>
          </w:p>
        </w:tc>
        <w:tc>
          <w:tcPr>
            <w:tcW w:type="dxa" w:w="1560"/>
          </w:tcPr>
          <w:p>
            <w:r>
              <w:t>Failure Handling</w:t>
            </w:r>
          </w:p>
        </w:tc>
      </w:tr>
      <w:tr>
        <w:tc>
          <w:tcPr>
            <w:tcW w:type="dxa" w:w="1560"/>
          </w:tcPr>
          <w:p>
            <w:r>
              <w:t>prod-env-pd</w:t>
            </w:r>
          </w:p>
        </w:tc>
        <w:tc>
          <w:tcPr>
            <w:tcW w:type="dxa" w:w="1560"/>
          </w:tcPr>
          <w:p>
            <w:r>
              <w:t>Not setup</w:t>
            </w:r>
          </w:p>
        </w:tc>
        <w:tc>
          <w:tcPr>
            <w:tcW w:type="dxa" w:w="1560"/>
          </w:tcPr>
          <w:p/>
        </w:tc>
        <w:tc>
          <w:tcPr>
            <w:tcW w:type="dxa" w:w="1560"/>
          </w:tcPr>
          <w:p/>
        </w:tc>
        <w:tc>
          <w:tcPr>
            <w:tcW w:type="dxa" w:w="1560"/>
          </w:tcPr>
          <w:p/>
        </w:tc>
        <w:tc>
          <w:tcPr>
            <w:tcW w:type="dxa" w:w="1560"/>
          </w:tcPr>
          <w:p/>
        </w:tc>
      </w:tr>
    </w:tbl>
    <w:p/>
    <w:p>
      <w:pPr>
        <w:pStyle w:val="Heading3"/>
      </w:pPr>
      <w:r>
        <w:t>Remote Sites</w:t>
      </w:r>
    </w:p>
    <w:tbl>
      <w:tblPr>
        <w:tblStyle w:val="NutanixDarkBlueTableGrid5"/>
        <w:tblW w:type="auto" w:w="0"/>
        <w:tblLook w:firstColumn="1" w:firstRow="1" w:lastColumn="0" w:lastRow="0" w:noHBand="0" w:noVBand="1" w:val="04A0"/>
      </w:tblPr>
      <w:tblGrid>
        <w:gridCol w:w="2340"/>
        <w:gridCol w:w="2340"/>
        <w:gridCol w:w="2340"/>
        <w:gridCol w:w="2340"/>
      </w:tblGrid>
      <w:tr>
        <w:tc>
          <w:tcPr>
            <w:tcW w:type="dxa" w:w="2340"/>
          </w:tcPr>
          <w:p>
            <w:r>
              <w:t>Name</w:t>
            </w:r>
          </w:p>
        </w:tc>
        <w:tc>
          <w:tcPr>
            <w:tcW w:type="dxa" w:w="2340"/>
          </w:tcPr>
          <w:p>
            <w:r>
              <w:t>Remote Site Addresses</w:t>
            </w:r>
          </w:p>
        </w:tc>
        <w:tc>
          <w:tcPr>
            <w:tcW w:type="dxa" w:w="2340"/>
          </w:tcPr>
          <w:p>
            <w:r>
              <w:t>Capabilities</w:t>
            </w:r>
          </w:p>
        </w:tc>
        <w:tc>
          <w:tcPr>
            <w:tcW w:type="dxa" w:w="2340"/>
          </w:tcPr>
          <w:p>
            <w:r>
              <w:t>Bandwidth Limit</w:t>
            </w:r>
          </w:p>
        </w:tc>
      </w:tr>
    </w:tbl>
    <w:p/>
    <w:p>
      <w:pPr>
        <w:pStyle w:val="Heading3"/>
      </w:pPr>
      <w:r>
        <w:t>Remote Site Options</w:t>
      </w:r>
    </w:p>
    <w:tbl>
      <w:tblPr>
        <w:tblStyle w:val="NutanixDarkBlueTableGrid5"/>
        <w:tblW w:type="auto" w:w="0"/>
        <w:tblLook w:firstColumn="1" w:firstRow="1" w:lastColumn="0" w:lastRow="0" w:noHBand="0" w:noVBand="1" w:val="04A0"/>
      </w:tblPr>
      <w:tblGrid>
        <w:gridCol w:w="2340"/>
        <w:gridCol w:w="2340"/>
        <w:gridCol w:w="2340"/>
        <w:gridCol w:w="2340"/>
      </w:tblGrid>
      <w:tr>
        <w:tc>
          <w:tcPr>
            <w:tcW w:type="dxa" w:w="2340"/>
          </w:tcPr>
          <w:p>
            <w:r>
              <w:t>Name</w:t>
            </w:r>
          </w:p>
        </w:tc>
        <w:tc>
          <w:tcPr>
            <w:tcW w:type="dxa" w:w="2340"/>
          </w:tcPr>
          <w:p>
            <w:r>
              <w:t>Compress On Write</w:t>
            </w:r>
          </w:p>
        </w:tc>
        <w:tc>
          <w:tcPr>
            <w:tcW w:type="dxa" w:w="2340"/>
          </w:tcPr>
          <w:p>
            <w:r>
              <w:t>Use SSH Tunnel</w:t>
            </w:r>
          </w:p>
        </w:tc>
        <w:tc>
          <w:tcPr>
            <w:tcW w:type="dxa" w:w="2340"/>
          </w:tcPr>
          <w:p>
            <w:r>
              <w:t>Proxy Enabled</w:t>
            </w:r>
          </w:p>
        </w:tc>
      </w:tr>
    </w:tbl>
    <w:p/>
    <w:p>
      <w:pPr>
        <w:pStyle w:val="Heading3"/>
      </w:pPr>
      <w:r>
        <w:t>Protection Domain Schedules</w:t>
      </w:r>
    </w:p>
    <w:tbl>
      <w:tblPr>
        <w:tblStyle w:val="NutanixDarkBlueTableGrid5"/>
        <w:tblW w:type="auto" w:w="0"/>
        <w:tblLook w:firstColumn="1" w:firstRow="1" w:lastColumn="0" w:lastRow="0" w:noHBand="0" w:noVBand="1" w:val="04A0"/>
      </w:tblPr>
      <w:tblGrid>
        <w:gridCol w:w="1560"/>
        <w:gridCol w:w="1560"/>
        <w:gridCol w:w="1560"/>
        <w:gridCol w:w="1560"/>
        <w:gridCol w:w="1560"/>
        <w:gridCol w:w="1560"/>
      </w:tblGrid>
      <w:tr>
        <w:tc>
          <w:tcPr>
            <w:tcW w:type="dxa" w:w="1560"/>
          </w:tcPr>
          <w:p>
            <w:r>
              <w:t>Protection Domain</w:t>
            </w:r>
          </w:p>
        </w:tc>
        <w:tc>
          <w:tcPr>
            <w:tcW w:type="dxa" w:w="1560"/>
          </w:tcPr>
          <w:p>
            <w:r>
              <w:t>Type</w:t>
            </w:r>
          </w:p>
        </w:tc>
        <w:tc>
          <w:tcPr>
            <w:tcW w:type="dxa" w:w="1560"/>
          </w:tcPr>
          <w:p>
            <w:r>
              <w:t>Repeat On</w:t>
            </w:r>
          </w:p>
        </w:tc>
        <w:tc>
          <w:tcPr>
            <w:tcW w:type="dxa" w:w="1560"/>
          </w:tcPr>
          <w:p>
            <w:r>
              <w:t>Start Date</w:t>
            </w:r>
          </w:p>
        </w:tc>
        <w:tc>
          <w:tcPr>
            <w:tcW w:type="dxa" w:w="1560"/>
          </w:tcPr>
          <w:p>
            <w:r>
              <w:t>Local Retention Policy</w:t>
            </w:r>
          </w:p>
        </w:tc>
        <w:tc>
          <w:tcPr>
            <w:tcW w:type="dxa" w:w="1560"/>
          </w:tcPr>
          <w:p>
            <w:r>
              <w:t>Remote Retention Policy</w:t>
            </w:r>
          </w:p>
        </w:tc>
      </w:tr>
      <w:tr>
        <w:tc>
          <w:tcPr>
            <w:tcW w:type="dxa" w:w="1560"/>
          </w:tcPr>
          <w:p>
            <w:r>
              <w:t>prod-env-pd</w:t>
            </w:r>
          </w:p>
        </w:tc>
        <w:tc>
          <w:tcPr>
            <w:tcW w:type="dxa" w:w="1560"/>
          </w:tcPr>
          <w:p>
            <w:r>
              <w:t>Minutely</w:t>
            </w:r>
          </w:p>
        </w:tc>
        <w:tc>
          <w:tcPr>
            <w:tcW w:type="dxa" w:w="1560"/>
          </w:tcPr>
          <w:p>
            <w:r>
              <w:t>Every 60 minutes</w:t>
            </w:r>
          </w:p>
        </w:tc>
        <w:tc>
          <w:tcPr>
            <w:tcW w:type="dxa" w:w="1560"/>
          </w:tcPr>
          <w:p>
            <w:r>
              <w:t>Feb 10, 2021 02:28:00 AM</w:t>
            </w:r>
          </w:p>
        </w:tc>
        <w:tc>
          <w:tcPr>
            <w:tcW w:type="dxa" w:w="1560"/>
          </w:tcPr>
          <w:p>
            <w:r>
              <w:t>1</w:t>
            </w:r>
          </w:p>
        </w:tc>
        <w:tc>
          <w:tcPr>
            <w:tcW w:type="dxa" w:w="1560"/>
          </w:tcPr>
          <w:p>
            <w:r/>
          </w:p>
        </w:tc>
      </w:tr>
    </w:tbl>
    <w:p/>
    <w:p>
      <w:pPr>
        <w:pStyle w:val="NutanixHeading2"/>
      </w:pPr>
      <w:r>
        <w:t>Alert Information</w:t>
      </w:r>
    </w:p>
    <w:p>
      <w:pPr>
        <w:pStyle w:val="Heading3"/>
      </w:pPr>
      <w:r>
        <w:t>Alert Configuration</w:t>
      </w:r>
    </w:p>
    <w:tbl>
      <w:tblPr>
        <w:tblStyle w:val="NutanixMediumBlueTableGrid6"/>
        <w:tblW w:type="auto" w:w="0"/>
        <w:tblLook w:firstColumn="1" w:firstRow="1" w:lastColumn="0" w:lastRow="0" w:noHBand="0" w:noVBand="1" w:val="04A0"/>
      </w:tblPr>
      <w:tblGrid>
        <w:gridCol w:w="3120"/>
        <w:gridCol w:w="3120"/>
        <w:gridCol w:w="3120"/>
      </w:tblGrid>
      <w:tr>
        <w:tc>
          <w:tcPr>
            <w:tcW w:type="dxa" w:w="3120"/>
          </w:tcPr>
          <w:p>
            <w:r>
              <w:t>Alerts Enabled</w:t>
            </w:r>
          </w:p>
        </w:tc>
        <w:tc>
          <w:tcPr>
            <w:tcW w:type="dxa" w:w="3120"/>
          </w:tcPr>
          <w:p>
            <w:r>
              <w:t>Email Digest Enabled</w:t>
            </w:r>
          </w:p>
        </w:tc>
        <w:tc>
          <w:tcPr>
            <w:tcW w:type="dxa" w:w="3120"/>
          </w:tcPr>
          <w:p>
            <w:r>
              <w:t>Pulse Enabled</w:t>
            </w:r>
          </w:p>
        </w:tc>
      </w:tr>
      <w:tr>
        <w:tc>
          <w:tcPr>
            <w:tcW w:type="dxa" w:w="3120"/>
          </w:tcPr>
          <w:p>
            <w:r>
              <w:t>True</w:t>
            </w:r>
          </w:p>
        </w:tc>
        <w:tc>
          <w:tcPr>
            <w:tcW w:type="dxa" w:w="3120"/>
          </w:tcPr>
          <w:p>
            <w:r>
              <w:t>True</w:t>
            </w:r>
          </w:p>
        </w:tc>
        <w:tc>
          <w:tcPr>
            <w:tcW w:type="dxa" w:w="3120"/>
          </w:tcPr>
          <w:p>
            <w:r>
              <w:t>False</w:t>
            </w:r>
          </w:p>
        </w:tc>
      </w:tr>
    </w:tbl>
    <w:p/>
    <w:p>
      <w:pPr>
        <w:pStyle w:val="Heading3"/>
      </w:pPr>
      <w:r>
        <w:t>Alert Email Configuration</w:t>
      </w:r>
    </w:p>
    <w:tbl>
      <w:tblPr>
        <w:tblStyle w:val="NutanixMediumBlueTableGrid6"/>
        <w:tblW w:type="auto" w:w="0"/>
        <w:tblLook w:firstColumn="1" w:firstRow="1" w:lastColumn="0" w:lastRow="0" w:noHBand="0" w:noVBand="1" w:val="04A0"/>
      </w:tblPr>
      <w:tblGrid>
        <w:gridCol w:w="3120"/>
        <w:gridCol w:w="3120"/>
        <w:gridCol w:w="3120"/>
      </w:tblGrid>
      <w:tr>
        <w:tc>
          <w:tcPr>
            <w:tcW w:type="dxa" w:w="3120"/>
          </w:tcPr>
          <w:p>
            <w:r>
              <w:t>Email Contact List</w:t>
            </w:r>
          </w:p>
        </w:tc>
        <w:tc>
          <w:tcPr>
            <w:tcW w:type="dxa" w:w="3120"/>
          </w:tcPr>
          <w:p>
            <w:r>
              <w:t>Email Configuration Rules</w:t>
            </w:r>
          </w:p>
        </w:tc>
        <w:tc>
          <w:tcPr>
            <w:tcW w:type="dxa" w:w="3120"/>
          </w:tcPr>
          <w:p>
            <w:r>
              <w:t>Default Nutanix Email</w:t>
            </w:r>
          </w:p>
        </w:tc>
      </w:tr>
      <w:tr>
        <w:tc>
          <w:tcPr>
            <w:tcW w:type="dxa" w:w="3120"/>
          </w:tcPr>
          <w:p>
            <w:r/>
          </w:p>
        </w:tc>
        <w:tc>
          <w:tcPr>
            <w:tcW w:type="dxa" w:w="3120"/>
          </w:tcPr>
          <w:p>
            <w:r>
              <w:t>None</w:t>
            </w:r>
          </w:p>
        </w:tc>
        <w:tc>
          <w:tcPr>
            <w:tcW w:type="dxa" w:w="3120"/>
          </w:tcPr>
          <w:p>
            <w:r>
              <w:t>nos-alerts@nutanix.com</w:t>
            </w:r>
          </w:p>
        </w:tc>
      </w:tr>
    </w:tbl>
    <w:p>
      <w:pPr>
        <w:pStyle w:val="Heading1"/>
      </w:pPr>
      <w:r>
        <w:t>Document Information</w:t>
      </w:r>
    </w:p>
    <w:p>
      <w:pPr>
        <w:pStyle w:val="NutanixHeading2"/>
      </w:pPr>
      <w:r>
        <w:t>Version Control</w:t>
      </w:r>
    </w:p>
    <w:tbl>
      <w:tblPr>
        <w:tblStyle w:val="NutanixMediumBlueTableGrid6"/>
        <w:tblW w:type="auto" w:w="0"/>
        <w:tblLook w:firstColumn="1" w:firstRow="1" w:lastColumn="0" w:lastRow="0" w:noHBand="0" w:noVBand="1" w:val="04A0"/>
      </w:tblPr>
      <w:tblGrid>
        <w:gridCol w:w="2340"/>
        <w:gridCol w:w="2340"/>
        <w:gridCol w:w="2340"/>
        <w:gridCol w:w="2340"/>
      </w:tblGrid>
      <w:tr>
        <w:tc>
          <w:tcPr>
            <w:tcW w:type="dxa" w:w="2340"/>
          </w:tcPr>
          <w:p>
            <w:r>
              <w:t>Version</w:t>
            </w:r>
          </w:p>
        </w:tc>
        <w:tc>
          <w:tcPr>
            <w:tcW w:type="dxa" w:w="2340"/>
          </w:tcPr>
          <w:p>
            <w:r>
              <w:t>Date</w:t>
            </w:r>
          </w:p>
        </w:tc>
        <w:tc>
          <w:tcPr>
            <w:tcW w:type="dxa" w:w="2340"/>
          </w:tcPr>
          <w:p>
            <w:r>
              <w:t>Author</w:t>
            </w:r>
          </w:p>
        </w:tc>
        <w:tc>
          <w:tcPr>
            <w:tcW w:type="dxa" w:w="2340"/>
          </w:tcPr>
          <w:p>
            <w:r>
              <w:t>Comments</w:t>
            </w:r>
          </w:p>
        </w:tc>
      </w:tr>
      <w:tr>
        <w:tc>
          <w:tcPr>
            <w:tcW w:type="dxa" w:w="2340"/>
          </w:tcPr>
          <w:p>
            <w:r>
              <w:t>1.0</w:t>
            </w:r>
          </w:p>
        </w:tc>
        <w:tc>
          <w:tcPr>
            <w:tcW w:type="dxa" w:w="2340"/>
          </w:tcPr>
          <w:p>
            <w:r>
              <w:t>-</w:t>
            </w:r>
          </w:p>
        </w:tc>
        <w:tc>
          <w:tcPr>
            <w:tcW w:type="dxa" w:w="2340"/>
          </w:tcPr>
          <w:p>
            <w:r>
              <w:t>Harsha Hosur</w:t>
            </w:r>
          </w:p>
        </w:tc>
        <w:tc>
          <w:tcPr>
            <w:tcW w:type="dxa" w:w="2340"/>
          </w:tcPr>
          <w:p>
            <w:r>
              <w:t>Version 1 final release</w:t>
            </w:r>
          </w:p>
        </w:tc>
      </w:tr>
      <w:tr>
        <w:tc>
          <w:tcPr>
            <w:tcW w:type="dxa" w:w="2340"/>
          </w:tcPr>
          <w:p>
            <w:r>
              <w:t>1.1</w:t>
            </w:r>
          </w:p>
        </w:tc>
        <w:tc>
          <w:tcPr>
            <w:tcW w:type="dxa" w:w="2340"/>
          </w:tcPr>
          <w:p>
            <w:r>
              <w:t>November 6, 2016</w:t>
            </w:r>
          </w:p>
        </w:tc>
        <w:tc>
          <w:tcPr>
            <w:tcW w:type="dxa" w:w="2340"/>
          </w:tcPr>
          <w:p>
            <w:r>
              <w:t>Harsha Hosur</w:t>
            </w:r>
          </w:p>
        </w:tc>
        <w:tc>
          <w:tcPr>
            <w:tcW w:type="dxa" w:w="2340"/>
          </w:tcPr>
          <w:p>
            <w:r>
              <w:t>Optional items highlighted in lieu of the document being automated.</w:t>
            </w:r>
          </w:p>
        </w:tc>
      </w:tr>
      <w:tr>
        <w:tc>
          <w:tcPr>
            <w:tcW w:type="dxa" w:w="2340"/>
          </w:tcPr>
          <w:p>
            <w:r>
              <w:t>2.0</w:t>
            </w:r>
          </w:p>
        </w:tc>
        <w:tc>
          <w:tcPr>
            <w:tcW w:type="dxa" w:w="2340"/>
          </w:tcPr>
          <w:p>
            <w:r>
              <w:t>November 23, 2016</w:t>
            </w:r>
          </w:p>
        </w:tc>
        <w:tc>
          <w:tcPr>
            <w:tcW w:type="dxa" w:w="2340"/>
          </w:tcPr>
          <w:p>
            <w:r>
              <w:t>Dave Keefe</w:t>
            </w:r>
          </w:p>
        </w:tc>
        <w:tc>
          <w:tcPr>
            <w:tcW w:type="dxa" w:w="2340"/>
          </w:tcPr>
          <w:p>
            <w:r>
              <w:t>Converted to automation Template.</w:t>
            </w:r>
          </w:p>
        </w:tc>
      </w:tr>
      <w:tr>
        <w:tc>
          <w:tcPr>
            <w:tcW w:type="dxa" w:w="2340"/>
          </w:tcPr>
          <w:p>
            <w:r>
              <w:t>2.1</w:t>
            </w:r>
          </w:p>
        </w:tc>
        <w:tc>
          <w:tcPr>
            <w:tcW w:type="dxa" w:w="2340"/>
          </w:tcPr>
          <w:p>
            <w:r>
              <w:t>January 23, 2017</w:t>
            </w:r>
          </w:p>
        </w:tc>
        <w:tc>
          <w:tcPr>
            <w:tcW w:type="dxa" w:w="2340"/>
          </w:tcPr>
          <w:p>
            <w:r>
              <w:t>Dave Keefe</w:t>
            </w:r>
          </w:p>
        </w:tc>
        <w:tc>
          <w:tcPr>
            <w:tcW w:type="dxa" w:w="2340"/>
          </w:tcPr>
          <w:p>
            <w:r>
              <w:t>Added new table style.</w:t>
            </w:r>
          </w:p>
        </w:tc>
      </w:tr>
      <w:tr>
        <w:tc>
          <w:tcPr>
            <w:tcW w:type="dxa" w:w="2340"/>
          </w:tcPr>
          <w:p>
            <w:r>
              <w:t>2.2</w:t>
            </w:r>
          </w:p>
        </w:tc>
        <w:tc>
          <w:tcPr>
            <w:tcW w:type="dxa" w:w="2340"/>
          </w:tcPr>
          <w:p>
            <w:r>
              <w:t>April 17, 2017</w:t>
            </w:r>
          </w:p>
        </w:tc>
        <w:tc>
          <w:tcPr>
            <w:tcW w:type="dxa" w:w="2340"/>
          </w:tcPr>
          <w:p>
            <w:r>
              <w:t>Dave Keefe</w:t>
            </w:r>
          </w:p>
        </w:tc>
        <w:tc>
          <w:tcPr>
            <w:tcW w:type="dxa" w:w="2340"/>
          </w:tcPr>
          <w:p>
            <w:r>
              <w:t>Updated automation.</w:t>
            </w:r>
          </w:p>
        </w:tc>
      </w:tr>
      <w:tr>
        <w:tc>
          <w:tcPr>
            <w:tcW w:type="dxa" w:w="2340"/>
          </w:tcPr>
          <w:p>
            <w:r>
              <w:t>2.3</w:t>
            </w:r>
          </w:p>
        </w:tc>
        <w:tc>
          <w:tcPr>
            <w:tcW w:type="dxa" w:w="2340"/>
          </w:tcPr>
          <w:p>
            <w:r>
              <w:t>June 5, 2017</w:t>
            </w:r>
          </w:p>
        </w:tc>
        <w:tc>
          <w:tcPr>
            <w:tcW w:type="dxa" w:w="2340"/>
          </w:tcPr>
          <w:p>
            <w:r>
              <w:t>Dave Keefe</w:t>
            </w:r>
          </w:p>
        </w:tc>
        <w:tc>
          <w:tcPr>
            <w:tcW w:type="dxa" w:w="2340"/>
          </w:tcPr>
          <w:p>
            <w:r>
              <w:t>Enabled spell check.</w:t>
            </w:r>
          </w:p>
        </w:tc>
      </w:tr>
      <w:tr>
        <w:tc>
          <w:tcPr>
            <w:tcW w:type="dxa" w:w="2340"/>
          </w:tcPr>
          <w:p>
            <w:r>
              <w:t>2.4</w:t>
            </w:r>
          </w:p>
        </w:tc>
        <w:tc>
          <w:tcPr>
            <w:tcW w:type="dxa" w:w="2340"/>
          </w:tcPr>
          <w:p>
            <w:r>
              <w:t>June 5, 2017</w:t>
            </w:r>
          </w:p>
        </w:tc>
        <w:tc>
          <w:tcPr>
            <w:tcW w:type="dxa" w:w="2340"/>
          </w:tcPr>
          <w:p>
            <w:r>
              <w:t>Dave Keefe</w:t>
            </w:r>
          </w:p>
        </w:tc>
        <w:tc>
          <w:tcPr>
            <w:tcW w:type="dxa" w:w="2340"/>
          </w:tcPr>
          <w:p>
            <w:r>
              <w:t>Update status output.</w:t>
            </w:r>
          </w:p>
        </w:tc>
      </w:tr>
      <w:tr>
        <w:tc>
          <w:tcPr>
            <w:tcW w:type="dxa" w:w="2340"/>
          </w:tcPr>
          <w:p>
            <w:r>
              <w:t>3.1</w:t>
            </w:r>
          </w:p>
        </w:tc>
        <w:tc>
          <w:tcPr>
            <w:tcW w:type="dxa" w:w="2340"/>
          </w:tcPr>
          <w:p>
            <w:r>
              <w:t>October 18, 2017</w:t>
            </w:r>
          </w:p>
        </w:tc>
        <w:tc>
          <w:tcPr>
            <w:tcW w:type="dxa" w:w="2340"/>
          </w:tcPr>
          <w:p>
            <w:r>
              <w:t>Dave Keefe</w:t>
            </w:r>
          </w:p>
        </w:tc>
        <w:tc>
          <w:tcPr>
            <w:tcW w:type="dxa" w:w="2340"/>
          </w:tcPr>
          <w:p>
            <w:r>
              <w:t>Additional data gathered.</w:t>
            </w:r>
          </w:p>
        </w:tc>
      </w:tr>
      <w:tr>
        <w:tc>
          <w:tcPr>
            <w:tcW w:type="dxa" w:w="2340"/>
          </w:tcPr>
          <w:p>
            <w:r>
              <w:t>3.1.1</w:t>
            </w:r>
          </w:p>
        </w:tc>
        <w:tc>
          <w:tcPr>
            <w:tcW w:type="dxa" w:w="2340"/>
          </w:tcPr>
          <w:p>
            <w:r>
              <w:t>December 12, 2017</w:t>
            </w:r>
          </w:p>
        </w:tc>
        <w:tc>
          <w:tcPr>
            <w:tcW w:type="dxa" w:w="2340"/>
          </w:tcPr>
          <w:p>
            <w:r>
              <w:t>Dave Keefe</w:t>
            </w:r>
          </w:p>
        </w:tc>
        <w:tc>
          <w:tcPr>
            <w:tcW w:type="dxa" w:w="2340"/>
          </w:tcPr>
          <w:p>
            <w:r>
              <w:t>Open SSL update</w:t>
            </w:r>
          </w:p>
        </w:tc>
      </w:tr>
      <w:tr>
        <w:tc>
          <w:tcPr>
            <w:tcW w:type="dxa" w:w="2340"/>
          </w:tcPr>
          <w:p>
            <w:r>
              <w:t>3.3</w:t>
            </w:r>
          </w:p>
        </w:tc>
        <w:tc>
          <w:tcPr>
            <w:tcW w:type="dxa" w:w="2340"/>
          </w:tcPr>
          <w:p>
            <w:r>
              <w:t>May 22, 2018</w:t>
            </w:r>
          </w:p>
        </w:tc>
        <w:tc>
          <w:tcPr>
            <w:tcW w:type="dxa" w:w="2340"/>
          </w:tcPr>
          <w:p>
            <w:r>
              <w:t>Dave Keefe</w:t>
            </w:r>
          </w:p>
        </w:tc>
        <w:tc>
          <w:tcPr>
            <w:tcW w:type="dxa" w:w="2340"/>
          </w:tcPr>
          <w:p>
            <w:r>
              <w:t>Added debug flag and educational recources</w:t>
            </w:r>
          </w:p>
        </w:tc>
      </w:tr>
      <w:tr>
        <w:tc>
          <w:tcPr>
            <w:tcW w:type="dxa" w:w="2340"/>
          </w:tcPr>
          <w:p>
            <w:r>
              <w:t>3.4</w:t>
            </w:r>
          </w:p>
        </w:tc>
        <w:tc>
          <w:tcPr>
            <w:tcW w:type="dxa" w:w="2340"/>
          </w:tcPr>
          <w:p>
            <w:r>
              <w:t>June 6, 2018</w:t>
            </w:r>
          </w:p>
        </w:tc>
        <w:tc>
          <w:tcPr>
            <w:tcW w:type="dxa" w:w="2340"/>
          </w:tcPr>
          <w:p>
            <w:r>
              <w:t>Dave Keefe</w:t>
            </w:r>
          </w:p>
        </w:tc>
        <w:tc>
          <w:tcPr>
            <w:tcW w:type="dxa" w:w="2340"/>
          </w:tcPr>
          <w:p>
            <w:r>
              <w:t>Added network diagram</w:t>
            </w:r>
          </w:p>
        </w:tc>
      </w:tr>
      <w:tr>
        <w:tc>
          <w:tcPr>
            <w:tcW w:type="dxa" w:w="2340"/>
          </w:tcPr>
          <w:p>
            <w:r>
              <w:t>3.5</w:t>
            </w:r>
          </w:p>
        </w:tc>
        <w:tc>
          <w:tcPr>
            <w:tcW w:type="dxa" w:w="2340"/>
          </w:tcPr>
          <w:p>
            <w:r>
              <w:t>Nov 21, 2018</w:t>
            </w:r>
          </w:p>
        </w:tc>
        <w:tc>
          <w:tcPr>
            <w:tcW w:type="dxa" w:w="2340"/>
          </w:tcPr>
          <w:p>
            <w:r>
              <w:t>Pearlin Sargunar</w:t>
            </w:r>
          </w:p>
        </w:tc>
        <w:tc>
          <w:tcPr>
            <w:tcW w:type="dxa" w:w="2340"/>
          </w:tcPr>
          <w:p>
            <w:r>
              <w:t>Added G6 Images</w:t>
            </w:r>
          </w:p>
        </w:tc>
      </w:tr>
      <w:tr>
        <w:tc>
          <w:tcPr>
            <w:tcW w:type="dxa" w:w="2340"/>
          </w:tcPr>
          <w:p>
            <w:r>
              <w:t>3.6</w:t>
            </w:r>
          </w:p>
        </w:tc>
        <w:tc>
          <w:tcPr>
            <w:tcW w:type="dxa" w:w="2340"/>
          </w:tcPr>
          <w:p>
            <w:r>
              <w:t>Nov 22, 2018</w:t>
            </w:r>
          </w:p>
        </w:tc>
        <w:tc>
          <w:tcPr>
            <w:tcW w:type="dxa" w:w="2340"/>
          </w:tcPr>
          <w:p>
            <w:r>
              <w:t>Pearlin Sargunar</w:t>
            </w:r>
          </w:p>
        </w:tc>
        <w:tc>
          <w:tcPr>
            <w:tcW w:type="dxa" w:w="2340"/>
          </w:tcPr>
          <w:p>
            <w:r>
              <w:t>Added vCenter Information Added</w:t>
            </w:r>
          </w:p>
        </w:tc>
      </w:tr>
      <w:tr>
        <w:tc>
          <w:tcPr>
            <w:tcW w:type="dxa" w:w="2340"/>
          </w:tcPr>
          <w:p>
            <w:r>
              <w:t>4.0</w:t>
            </w:r>
          </w:p>
        </w:tc>
        <w:tc>
          <w:tcPr>
            <w:tcW w:type="dxa" w:w="2340"/>
          </w:tcPr>
          <w:p>
            <w:r>
              <w:t>Dec 28, 2018</w:t>
            </w:r>
          </w:p>
        </w:tc>
        <w:tc>
          <w:tcPr>
            <w:tcW w:type="dxa" w:w="2340"/>
          </w:tcPr>
          <w:p>
            <w:r>
              <w:t>Prince Raj</w:t>
            </w:r>
          </w:p>
        </w:tc>
        <w:tc>
          <w:tcPr>
            <w:tcW w:type="dxa" w:w="2340"/>
          </w:tcPr>
          <w:p>
            <w:r>
              <w:t>Fixed minor bugs</w:t>
            </w:r>
          </w:p>
        </w:tc>
      </w:tr>
      <w:tr>
        <w:tc>
          <w:tcPr>
            <w:tcW w:type="dxa" w:w="2340"/>
          </w:tcPr>
          <w:p>
            <w:r>
              <w:t>4.1</w:t>
            </w:r>
          </w:p>
        </w:tc>
        <w:tc>
          <w:tcPr>
            <w:tcW w:type="dxa" w:w="2340"/>
          </w:tcPr>
          <w:p>
            <w:r>
              <w:t>Jan 14, 2019</w:t>
            </w:r>
          </w:p>
        </w:tc>
        <w:tc>
          <w:tcPr>
            <w:tcW w:type="dxa" w:w="2340"/>
          </w:tcPr>
          <w:p>
            <w:r>
              <w:t>Prince Raj</w:t>
            </w:r>
          </w:p>
        </w:tc>
        <w:tc>
          <w:tcPr>
            <w:tcW w:type="dxa" w:w="2340"/>
          </w:tcPr>
          <w:p>
            <w:r>
              <w:t>Fixed bug for vCenter</w:t>
            </w:r>
          </w:p>
        </w:tc>
      </w:tr>
      <w:tr>
        <w:tc>
          <w:tcPr>
            <w:tcW w:type="dxa" w:w="2340"/>
          </w:tcPr>
          <w:p>
            <w:r>
              <w:t>4.2</w:t>
            </w:r>
          </w:p>
        </w:tc>
        <w:tc>
          <w:tcPr>
            <w:tcW w:type="dxa" w:w="2340"/>
          </w:tcPr>
          <w:p>
            <w:r>
              <w:t>Jan 31, 2019</w:t>
            </w:r>
          </w:p>
        </w:tc>
        <w:tc>
          <w:tcPr>
            <w:tcW w:type="dxa" w:w="2340"/>
          </w:tcPr>
          <w:p>
            <w:r>
              <w:t>Prince Raj</w:t>
            </w:r>
          </w:p>
        </w:tc>
        <w:tc>
          <w:tcPr>
            <w:tcW w:type="dxa" w:w="2340"/>
          </w:tcPr>
          <w:p>
            <w:r>
              <w:t>Minor Fixes and updated the template file</w:t>
            </w:r>
          </w:p>
        </w:tc>
      </w:tr>
      <w:tr>
        <w:tc>
          <w:tcPr>
            <w:tcW w:type="dxa" w:w="2340"/>
          </w:tcPr>
          <w:p>
            <w:r>
              <w:t>4.3</w:t>
            </w:r>
          </w:p>
        </w:tc>
        <w:tc>
          <w:tcPr>
            <w:tcW w:type="dxa" w:w="2340"/>
          </w:tcPr>
          <w:p>
            <w:r>
              <w:t>Feb 28, 2019</w:t>
            </w:r>
          </w:p>
        </w:tc>
        <w:tc>
          <w:tcPr>
            <w:tcW w:type="dxa" w:w="2340"/>
          </w:tcPr>
          <w:p>
            <w:r>
              <w:t>Prince Raj</w:t>
            </w:r>
          </w:p>
        </w:tc>
        <w:tc>
          <w:tcPr>
            <w:tcW w:type="dxa" w:w="2340"/>
          </w:tcPr>
          <w:p>
            <w:r>
              <w:t>Added support for Excel output</w:t>
            </w:r>
          </w:p>
        </w:tc>
      </w:tr>
      <w:tr>
        <w:tc>
          <w:tcPr>
            <w:tcW w:type="dxa" w:w="2340"/>
          </w:tcPr>
          <w:p>
            <w:r>
              <w:t>4.3.1</w:t>
            </w:r>
          </w:p>
        </w:tc>
        <w:tc>
          <w:tcPr>
            <w:tcW w:type="dxa" w:w="2340"/>
          </w:tcPr>
          <w:p>
            <w:r>
              <w:t>Mar 21, 2019</w:t>
            </w:r>
          </w:p>
        </w:tc>
        <w:tc>
          <w:tcPr>
            <w:tcW w:type="dxa" w:w="2340"/>
          </w:tcPr>
          <w:p>
            <w:r>
              <w:t>Prince Raj</w:t>
            </w:r>
          </w:p>
        </w:tc>
        <w:tc>
          <w:tcPr>
            <w:tcW w:type="dxa" w:w="2340"/>
          </w:tcPr>
          <w:p>
            <w:r>
              <w:t>Added vcenter flag and fixed bugs</w:t>
            </w:r>
          </w:p>
        </w:tc>
      </w:tr>
      <w:tr>
        <w:tc>
          <w:tcPr>
            <w:tcW w:type="dxa" w:w="2340"/>
          </w:tcPr>
          <w:p>
            <w:r>
              <w:t>4.4</w:t>
            </w:r>
          </w:p>
        </w:tc>
        <w:tc>
          <w:tcPr>
            <w:tcW w:type="dxa" w:w="2340"/>
          </w:tcPr>
          <w:p>
            <w:r>
              <w:t>May 2, 2019</w:t>
            </w:r>
          </w:p>
        </w:tc>
        <w:tc>
          <w:tcPr>
            <w:tcW w:type="dxa" w:w="2340"/>
          </w:tcPr>
          <w:p>
            <w:r>
              <w:t>Prince Raj</w:t>
            </w:r>
          </w:p>
        </w:tc>
        <w:tc>
          <w:tcPr>
            <w:tcW w:type="dxa" w:w="2340"/>
          </w:tcPr>
          <w:p>
            <w:r>
              <w:t>Added new flags and fixed vcenter IP bug</w:t>
            </w:r>
          </w:p>
        </w:tc>
      </w:tr>
      <w:tr>
        <w:tc>
          <w:tcPr>
            <w:tcW w:type="dxa" w:w="2340"/>
          </w:tcPr>
          <w:p>
            <w:r>
              <w:t>4.4.1</w:t>
            </w:r>
          </w:p>
        </w:tc>
        <w:tc>
          <w:tcPr>
            <w:tcW w:type="dxa" w:w="2340"/>
          </w:tcPr>
          <w:p>
            <w:r>
              <w:t>May 2, 2019</w:t>
            </w:r>
          </w:p>
        </w:tc>
        <w:tc>
          <w:tcPr>
            <w:tcW w:type="dxa" w:w="2340"/>
          </w:tcPr>
          <w:p>
            <w:r>
              <w:t>Prince Raj</w:t>
            </w:r>
          </w:p>
        </w:tc>
        <w:tc>
          <w:tcPr>
            <w:tcW w:type="dxa" w:w="2340"/>
          </w:tcPr>
          <w:p>
            <w:r>
              <w:t>Added functionality to read list of IPs from file</w:t>
            </w:r>
          </w:p>
        </w:tc>
      </w:tr>
      <w:tr>
        <w:tc>
          <w:tcPr>
            <w:tcW w:type="dxa" w:w="2340"/>
          </w:tcPr>
          <w:p>
            <w:r>
              <w:t>4.5</w:t>
            </w:r>
          </w:p>
        </w:tc>
        <w:tc>
          <w:tcPr>
            <w:tcW w:type="dxa" w:w="2340"/>
          </w:tcPr>
          <w:p>
            <w:r>
              <w:t>May 8, 2019</w:t>
            </w:r>
          </w:p>
        </w:tc>
        <w:tc>
          <w:tcPr>
            <w:tcW w:type="dxa" w:w="2340"/>
          </w:tcPr>
          <w:p>
            <w:r>
              <w:t>Pearlin Sargunar</w:t>
            </w:r>
          </w:p>
        </w:tc>
        <w:tc>
          <w:tcPr>
            <w:tcW w:type="dxa" w:w="2340"/>
          </w:tcPr>
          <w:p>
            <w:r>
              <w:t>Added a feature for summary workbook generation</w:t>
            </w:r>
          </w:p>
        </w:tc>
      </w:tr>
      <w:tr>
        <w:tc>
          <w:tcPr>
            <w:tcW w:type="dxa" w:w="2340"/>
          </w:tcPr>
          <w:p>
            <w:r>
              <w:t>4.6</w:t>
            </w:r>
          </w:p>
        </w:tc>
        <w:tc>
          <w:tcPr>
            <w:tcW w:type="dxa" w:w="2340"/>
          </w:tcPr>
          <w:p>
            <w:r>
              <w:t>May 20, 2019</w:t>
            </w:r>
          </w:p>
        </w:tc>
        <w:tc>
          <w:tcPr>
            <w:tcW w:type="dxa" w:w="2340"/>
          </w:tcPr>
          <w:p>
            <w:r>
              <w:t>Prince Raj</w:t>
            </w:r>
          </w:p>
        </w:tc>
        <w:tc>
          <w:tcPr>
            <w:tcW w:type="dxa" w:w="2340"/>
          </w:tcPr>
          <w:p>
            <w:r>
              <w:t>Added VM Network Info to Excel and bug fixes</w:t>
            </w:r>
          </w:p>
        </w:tc>
      </w:tr>
      <w:tr>
        <w:tc>
          <w:tcPr>
            <w:tcW w:type="dxa" w:w="2340"/>
          </w:tcPr>
          <w:p>
            <w:r>
              <w:t>4.7</w:t>
            </w:r>
          </w:p>
        </w:tc>
        <w:tc>
          <w:tcPr>
            <w:tcW w:type="dxa" w:w="2340"/>
          </w:tcPr>
          <w:p>
            <w:r>
              <w:t>Jun 10, 2019</w:t>
            </w:r>
          </w:p>
        </w:tc>
        <w:tc>
          <w:tcPr>
            <w:tcW w:type="dxa" w:w="2340"/>
          </w:tcPr>
          <w:p>
            <w:r>
              <w:t>Pearlin Sargunar</w:t>
            </w:r>
          </w:p>
        </w:tc>
        <w:tc>
          <w:tcPr>
            <w:tcW w:type="dxa" w:w="2340"/>
          </w:tcPr>
          <w:p>
            <w:r>
              <w:t>Added Prism Central Feature</w:t>
            </w:r>
          </w:p>
        </w:tc>
      </w:tr>
      <w:tr>
        <w:tc>
          <w:tcPr>
            <w:tcW w:type="dxa" w:w="2340"/>
          </w:tcPr>
          <w:p>
            <w:r>
              <w:t>4.8</w:t>
            </w:r>
          </w:p>
        </w:tc>
        <w:tc>
          <w:tcPr>
            <w:tcW w:type="dxa" w:w="2340"/>
          </w:tcPr>
          <w:p>
            <w:r>
              <w:t>Jul 15, 2019</w:t>
            </w:r>
          </w:p>
        </w:tc>
        <w:tc>
          <w:tcPr>
            <w:tcW w:type="dxa" w:w="2340"/>
          </w:tcPr>
          <w:p>
            <w:r>
              <w:t>Pearlin Sargunar</w:t>
            </w:r>
          </w:p>
        </w:tc>
        <w:tc>
          <w:tcPr>
            <w:tcW w:type="dxa" w:w="2340"/>
          </w:tcPr>
          <w:p>
            <w:r>
              <w:t>Vcenter efficiency improved and minor features</w:t>
            </w:r>
          </w:p>
        </w:tc>
      </w:tr>
      <w:tr>
        <w:tc>
          <w:tcPr>
            <w:tcW w:type="dxa" w:w="2340"/>
          </w:tcPr>
          <w:p>
            <w:r>
              <w:t>4.8.1</w:t>
            </w:r>
          </w:p>
        </w:tc>
        <w:tc>
          <w:tcPr>
            <w:tcW w:type="dxa" w:w="2340"/>
          </w:tcPr>
          <w:p>
            <w:r>
              <w:t>Jul 19, 2019</w:t>
            </w:r>
          </w:p>
        </w:tc>
        <w:tc>
          <w:tcPr>
            <w:tcW w:type="dxa" w:w="2340"/>
          </w:tcPr>
          <w:p>
            <w:r>
              <w:t>Prince Raj</w:t>
            </w:r>
          </w:p>
        </w:tc>
        <w:tc>
          <w:tcPr>
            <w:tcW w:type="dxa" w:w="2340"/>
          </w:tcPr>
          <w:p>
            <w:r>
              <w:t>Bug fixes</w:t>
            </w:r>
          </w:p>
        </w:tc>
      </w:tr>
    </w:tbl>
    <w:p/>
    <w:sectPr w:rsidR="008C3CAB" w:rsidRPr="00B21C75" w:rsidSect="0048698D">
      <w:headerReference w:type="default" r:id="rId18"/>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FA6EFA" w14:textId="77777777" w:rsidR="00FD0B71" w:rsidRDefault="00FD0B71" w:rsidP="0048698D">
      <w:pPr>
        <w:spacing w:before="0" w:after="0" w:line="240" w:lineRule="auto"/>
      </w:pPr>
      <w:r>
        <w:separator/>
      </w:r>
    </w:p>
  </w:endnote>
  <w:endnote w:type="continuationSeparator" w:id="0">
    <w:p w14:paraId="12510E78" w14:textId="77777777" w:rsidR="00FD0B71" w:rsidRDefault="00FD0B71" w:rsidP="004869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tham Book">
    <w:panose1 w:val="00000000000000000000"/>
    <w:charset w:val="00"/>
    <w:family w:val="auto"/>
    <w:notTrueType/>
    <w:pitch w:val="variable"/>
    <w:sig w:usb0="A100007F" w:usb1="4000005B" w:usb2="00000000" w:usb3="00000000" w:csb0="0000009B" w:csb1="00000000"/>
  </w:font>
  <w:font w:name="Gotham Medium">
    <w:panose1 w:val="00000000000000000000"/>
    <w:charset w:val="00"/>
    <w:family w:val="auto"/>
    <w:notTrueType/>
    <w:pitch w:val="variable"/>
    <w:sig w:usb0="A100007F" w:usb1="4000005B" w:usb2="00000000" w:usb3="00000000" w:csb0="0000009B"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6425718"/>
      <w:docPartObj>
        <w:docPartGallery w:val="Page Numbers (Bottom of Page)"/>
        <w:docPartUnique/>
      </w:docPartObj>
    </w:sdtPr>
    <w:sdtEndPr>
      <w:rPr>
        <w:noProof/>
      </w:rPr>
    </w:sdtEndPr>
    <w:sdtContent>
      <w:p w14:paraId="73535B3D" w14:textId="6A16CD66" w:rsidR="00A9324A" w:rsidRDefault="00A9324A" w:rsidP="000F3AC1">
        <w:pPr>
          <w:pStyle w:val="Footer"/>
        </w:pPr>
        <w:r w:rsidRPr="000F3AC1">
          <w:rPr>
            <w:i/>
            <w:noProof/>
          </w:rPr>
          <mc:AlternateContent>
            <mc:Choice Requires="wps">
              <w:drawing>
                <wp:anchor distT="45720" distB="45720" distL="114300" distR="114300" simplePos="0" relativeHeight="251659264" behindDoc="1" locked="0" layoutInCell="1" allowOverlap="1" wp14:anchorId="0F69B458" wp14:editId="73FDBD9C">
                  <wp:simplePos x="0" y="0"/>
                  <wp:positionH relativeFrom="column">
                    <wp:posOffset>-1196975</wp:posOffset>
                  </wp:positionH>
                  <wp:positionV relativeFrom="paragraph">
                    <wp:posOffset>-1102360</wp:posOffset>
                  </wp:positionV>
                  <wp:extent cx="2373630" cy="1941830"/>
                  <wp:effectExtent l="0" t="0" r="381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1941830"/>
                          </a:xfrm>
                          <a:prstGeom prst="rect">
                            <a:avLst/>
                          </a:prstGeom>
                          <a:solidFill>
                            <a:srgbClr val="FFFFFF"/>
                          </a:solidFill>
                          <a:ln w="9525">
                            <a:noFill/>
                            <a:miter lim="800000"/>
                            <a:headEnd/>
                            <a:tailEnd/>
                          </a:ln>
                        </wps:spPr>
                        <wps:txbx>
                          <w:txbxContent>
                            <w:p w14:paraId="278882EF" w14:textId="77777777" w:rsidR="00A9324A" w:rsidRDefault="00A9324A" w:rsidP="000F3AC1">
                              <w:r>
                                <w:rPr>
                                  <w:noProof/>
                                </w:rPr>
                                <w:drawing>
                                  <wp:inline distT="0" distB="0" distL="0" distR="0" wp14:anchorId="3B13E530" wp14:editId="054C3E87">
                                    <wp:extent cx="1828894" cy="1517728"/>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ntnx_footer.png"/>
                                            <pic:cNvPicPr/>
                                          </pic:nvPicPr>
                                          <pic:blipFill>
                                            <a:blip r:embed="rId1">
                                              <a:extLst>
                                                <a:ext uri="{28A0092B-C50C-407E-A947-70E740481C1C}">
                                                  <a14:useLocalDpi xmlns:a14="http://schemas.microsoft.com/office/drawing/2010/main" val="0"/>
                                                </a:ext>
                                              </a:extLst>
                                            </a:blip>
                                            <a:stretch>
                                              <a:fillRect/>
                                            </a:stretch>
                                          </pic:blipFill>
                                          <pic:spPr>
                                            <a:xfrm>
                                              <a:off x="0" y="0"/>
                                              <a:ext cx="1828894" cy="1517728"/>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F69B458" id="_x0000_t202" coordsize="21600,21600" o:spt="202" path="m,l,21600r21600,l21600,xe">
                  <v:stroke joinstyle="miter"/>
                  <v:path gradientshapeok="t" o:connecttype="rect"/>
                </v:shapetype>
                <v:shape id="_x0000_s1027" type="#_x0000_t202" style="position:absolute;left:0;text-align:left;margin-left:-94.25pt;margin-top:-86.8pt;width:186.9pt;height:152.9pt;z-index:-2516572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" stroked="f">
                  <v:textbox style="mso-fit-shape-to-text:t">
                    <w:txbxContent>
                      <w:p w14:paraId="278882EF" w14:textId="77777777" w:rsidR="00A9324A" w:rsidRDefault="00A9324A" w:rsidP="000F3AC1">
                        <w:r>
                          <w:rPr>
                            <w:noProof/>
                          </w:rPr>
                          <w:drawing>
                            <wp:inline distT="0" distB="0" distL="0" distR="0" wp14:anchorId="3B13E530" wp14:editId="054C3E87">
                              <wp:extent cx="1828894" cy="1517728"/>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ntnx_footer.png"/>
                                      <pic:cNvPicPr/>
                                    </pic:nvPicPr>
                                    <pic:blipFill>
                                      <a:blip r:embed="rId1">
                                        <a:extLst>
                                          <a:ext uri="{28A0092B-C50C-407E-A947-70E740481C1C}">
                                            <a14:useLocalDpi xmlns:a14="http://schemas.microsoft.com/office/drawing/2010/main" val="0"/>
                                          </a:ext>
                                        </a:extLst>
                                      </a:blip>
                                      <a:stretch>
                                        <a:fillRect/>
                                      </a:stretch>
                                    </pic:blipFill>
                                    <pic:spPr>
                                      <a:xfrm>
                                        <a:off x="0" y="0"/>
                                        <a:ext cx="1828894" cy="1517728"/>
                                      </a:xfrm>
                                      <a:prstGeom prst="rect">
                                        <a:avLst/>
                                      </a:prstGeom>
                                    </pic:spPr>
                                  </pic:pic>
                                </a:graphicData>
                              </a:graphic>
                            </wp:inline>
                          </w:drawing>
                        </w:r>
                      </w:p>
                    </w:txbxContent>
                  </v:textbox>
                </v:shape>
              </w:pict>
            </mc:Fallback>
          </mc:AlternateContent>
        </w:r>
        <w:r>
          <w:rPr>
            <w:i/>
            <w:noProof/>
          </w:rPr>
          <w:t>Cluster Deployment – As Built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C4ACCE" w14:textId="77777777" w:rsidR="00FD0B71" w:rsidRDefault="00FD0B71" w:rsidP="0048698D">
      <w:pPr>
        <w:spacing w:before="0" w:after="0" w:line="240" w:lineRule="auto"/>
      </w:pPr>
      <w:r>
        <w:separator/>
      </w:r>
    </w:p>
  </w:footnote>
  <w:footnote w:type="continuationSeparator" w:id="0">
    <w:p w14:paraId="494FDE95" w14:textId="77777777" w:rsidR="00FD0B71" w:rsidRDefault="00FD0B71" w:rsidP="0048698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8768E" w14:textId="3AA5C29A" w:rsidR="00A9324A" w:rsidRDefault="00A9324A" w:rsidP="0048698D">
    <w:pPr>
      <w:pStyle w:val="Header"/>
      <w:tabs>
        <w:tab w:val="clear" w:pos="4680"/>
        <w:tab w:val="clear" w:pos="9360"/>
        <w:tab w:val="left" w:pos="4152"/>
      </w:tabs>
    </w:pPr>
    <w:r>
      <w:rPr>
        <w:noProof/>
      </w:rPr>
      <w:drawing>
        <wp:inline distT="0" distB="0" distL="0" distR="0" wp14:anchorId="3634F3B8" wp14:editId="26B7147C">
          <wp:extent cx="1554615" cy="188992"/>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tnx_logo.png"/>
                  <pic:cNvPicPr/>
                </pic:nvPicPr>
                <pic:blipFill>
                  <a:blip r:embed="rId1">
                    <a:extLst>
                      <a:ext uri="{28A0092B-C50C-407E-A947-70E740481C1C}">
                        <a14:useLocalDpi xmlns:a14="http://schemas.microsoft.com/office/drawing/2010/main" val="0"/>
                      </a:ext>
                    </a:extLst>
                  </a:blip>
                  <a:stretch>
                    <a:fillRect/>
                  </a:stretch>
                </pic:blipFill>
                <pic:spPr>
                  <a:xfrm>
                    <a:off x="0" y="0"/>
                    <a:ext cx="1554615" cy="18899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FB008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90036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868A2B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C20E09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AD671A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EE62B2C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15AE10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3C45CA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AC21AB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33EEE2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540045E"/>
    <w:lvl w:ilvl="0">
      <w:start w:val="1"/>
      <w:numFmt w:val="bullet"/>
      <w:pStyle w:val="ListBullet"/>
      <w:lvlText w:val="o"/>
      <w:lvlJc w:val="left"/>
      <w:pPr>
        <w:ind w:left="360" w:hanging="360"/>
      </w:pPr>
      <w:rPr>
        <w:rFonts w:ascii="Courier New" w:hAnsi="Courier New" w:cs="Courier New" w:hint="default"/>
      </w:rPr>
    </w:lvl>
  </w:abstractNum>
  <w:abstractNum w:abstractNumId="11" w15:restartNumberingAfterBreak="0">
    <w:nsid w:val="040433DA"/>
    <w:multiLevelType w:val="hybridMultilevel"/>
    <w:tmpl w:val="E0C44CCE"/>
    <w:lvl w:ilvl="0" w:tplc="6C382270">
      <w:start w:val="1"/>
      <w:numFmt w:val="bullet"/>
      <w:lvlText w:val=""/>
      <w:lvlJc w:val="left"/>
      <w:pPr>
        <w:ind w:left="360" w:hanging="360"/>
      </w:pPr>
      <w:rPr>
        <w:rFonts w:ascii="Symbol" w:hAnsi="Symbol" w:hint="default"/>
        <w:color w:val="AFD153"/>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7267A3B"/>
    <w:multiLevelType w:val="hybridMultilevel"/>
    <w:tmpl w:val="9E3E4576"/>
    <w:lvl w:ilvl="0" w:tplc="52108E1A">
      <w:start w:val="1"/>
      <w:numFmt w:val="bullet"/>
      <w:pStyle w:val="NutanixBulletGreen"/>
      <w:lvlText w:val=""/>
      <w:lvlJc w:val="left"/>
      <w:pPr>
        <w:ind w:left="1080" w:hanging="360"/>
      </w:pPr>
      <w:rPr>
        <w:rFonts w:ascii="Symbol" w:hAnsi="Symbol" w:hint="default"/>
        <w:color w:val="AFD153"/>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3" w15:restartNumberingAfterBreak="0">
    <w:nsid w:val="7E851690"/>
    <w:multiLevelType w:val="hybridMultilevel"/>
    <w:tmpl w:val="90EC45E0"/>
    <w:lvl w:ilvl="0" w:tplc="04090003">
      <w:start w:val="1"/>
      <w:numFmt w:val="bullet"/>
      <w:lvlText w:val="o"/>
      <w:lvlJc w:val="left"/>
      <w:pPr>
        <w:ind w:left="1008" w:hanging="360"/>
      </w:pPr>
      <w:rPr>
        <w:rFonts w:ascii="Courier New" w:hAnsi="Courier New" w:cs="Courier New"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10"/>
  </w:num>
  <w:num w:numId="2">
    <w:abstractNumId w:val="11"/>
  </w:num>
  <w:num w:numId="3">
    <w:abstractNumId w:val="12"/>
  </w:num>
  <w:num w:numId="4">
    <w:abstractNumId w:val="0"/>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hideGrammatical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LSwNDQ1NDIxtjQyMLNU0lEKTi0uzszPAykwrAUAeaMxXSwAAAA="/>
  </w:docVars>
  <w:rsids>
    <w:rsidRoot w:val="00681A6E"/>
    <w:rsid w:val="00000FDA"/>
    <w:rsid w:val="00022E1D"/>
    <w:rsid w:val="00030E0F"/>
    <w:rsid w:val="00041F59"/>
    <w:rsid w:val="00044EE2"/>
    <w:rsid w:val="00054822"/>
    <w:rsid w:val="00054BDA"/>
    <w:rsid w:val="00066B2E"/>
    <w:rsid w:val="00084E3B"/>
    <w:rsid w:val="00095578"/>
    <w:rsid w:val="000969BD"/>
    <w:rsid w:val="000A0B49"/>
    <w:rsid w:val="000A4789"/>
    <w:rsid w:val="000E0AD7"/>
    <w:rsid w:val="000F1675"/>
    <w:rsid w:val="000F3AC1"/>
    <w:rsid w:val="000F4C35"/>
    <w:rsid w:val="000F61F5"/>
    <w:rsid w:val="00110609"/>
    <w:rsid w:val="00130596"/>
    <w:rsid w:val="00130BC1"/>
    <w:rsid w:val="00137263"/>
    <w:rsid w:val="00146FFC"/>
    <w:rsid w:val="001529F3"/>
    <w:rsid w:val="001553CA"/>
    <w:rsid w:val="00155761"/>
    <w:rsid w:val="001641C9"/>
    <w:rsid w:val="0016425C"/>
    <w:rsid w:val="001642E8"/>
    <w:rsid w:val="00171FF5"/>
    <w:rsid w:val="0017474C"/>
    <w:rsid w:val="001A4503"/>
    <w:rsid w:val="001A5F8E"/>
    <w:rsid w:val="001B7A76"/>
    <w:rsid w:val="001C516C"/>
    <w:rsid w:val="001D648E"/>
    <w:rsid w:val="00200622"/>
    <w:rsid w:val="00204DD6"/>
    <w:rsid w:val="00213C68"/>
    <w:rsid w:val="00226CEF"/>
    <w:rsid w:val="00227BE6"/>
    <w:rsid w:val="00232DC3"/>
    <w:rsid w:val="00243B65"/>
    <w:rsid w:val="002470FB"/>
    <w:rsid w:val="00256EBA"/>
    <w:rsid w:val="002636D6"/>
    <w:rsid w:val="00266AAD"/>
    <w:rsid w:val="00275363"/>
    <w:rsid w:val="00276365"/>
    <w:rsid w:val="002907D4"/>
    <w:rsid w:val="002919A0"/>
    <w:rsid w:val="002976DF"/>
    <w:rsid w:val="002A6750"/>
    <w:rsid w:val="002A757D"/>
    <w:rsid w:val="002C35B4"/>
    <w:rsid w:val="002C66EB"/>
    <w:rsid w:val="002D7509"/>
    <w:rsid w:val="002E5580"/>
    <w:rsid w:val="002F2C35"/>
    <w:rsid w:val="00300DAE"/>
    <w:rsid w:val="00301EB3"/>
    <w:rsid w:val="00303872"/>
    <w:rsid w:val="003202BE"/>
    <w:rsid w:val="0033095E"/>
    <w:rsid w:val="00337744"/>
    <w:rsid w:val="0035434A"/>
    <w:rsid w:val="00360269"/>
    <w:rsid w:val="00375BF5"/>
    <w:rsid w:val="003816DB"/>
    <w:rsid w:val="00391335"/>
    <w:rsid w:val="00394440"/>
    <w:rsid w:val="003A6BC8"/>
    <w:rsid w:val="003B23B0"/>
    <w:rsid w:val="003C0A85"/>
    <w:rsid w:val="003C3443"/>
    <w:rsid w:val="003D4ACD"/>
    <w:rsid w:val="003D66C3"/>
    <w:rsid w:val="003E23C2"/>
    <w:rsid w:val="003E42BA"/>
    <w:rsid w:val="00405C44"/>
    <w:rsid w:val="00414438"/>
    <w:rsid w:val="00424FF4"/>
    <w:rsid w:val="00441AAF"/>
    <w:rsid w:val="00443F48"/>
    <w:rsid w:val="00462250"/>
    <w:rsid w:val="00470DFD"/>
    <w:rsid w:val="004851CA"/>
    <w:rsid w:val="0048698D"/>
    <w:rsid w:val="004B2195"/>
    <w:rsid w:val="004B2400"/>
    <w:rsid w:val="004D33F1"/>
    <w:rsid w:val="004D6884"/>
    <w:rsid w:val="004D6CD6"/>
    <w:rsid w:val="004E1102"/>
    <w:rsid w:val="004F3217"/>
    <w:rsid w:val="00504470"/>
    <w:rsid w:val="00510316"/>
    <w:rsid w:val="005167E3"/>
    <w:rsid w:val="00521C95"/>
    <w:rsid w:val="00531DFD"/>
    <w:rsid w:val="00537640"/>
    <w:rsid w:val="00540A8F"/>
    <w:rsid w:val="0054331C"/>
    <w:rsid w:val="005558AB"/>
    <w:rsid w:val="0055723F"/>
    <w:rsid w:val="0056744B"/>
    <w:rsid w:val="00574B2C"/>
    <w:rsid w:val="005779FD"/>
    <w:rsid w:val="00581BE7"/>
    <w:rsid w:val="00584EEA"/>
    <w:rsid w:val="0059770B"/>
    <w:rsid w:val="005A03D8"/>
    <w:rsid w:val="005E7147"/>
    <w:rsid w:val="0060797E"/>
    <w:rsid w:val="00611F37"/>
    <w:rsid w:val="006175F8"/>
    <w:rsid w:val="006176F4"/>
    <w:rsid w:val="00624C3C"/>
    <w:rsid w:val="006262C5"/>
    <w:rsid w:val="00631D47"/>
    <w:rsid w:val="006601A8"/>
    <w:rsid w:val="006775FE"/>
    <w:rsid w:val="00681A6E"/>
    <w:rsid w:val="0068309D"/>
    <w:rsid w:val="00684D25"/>
    <w:rsid w:val="006A627E"/>
    <w:rsid w:val="006B269D"/>
    <w:rsid w:val="006B4ED0"/>
    <w:rsid w:val="006C56AF"/>
    <w:rsid w:val="006E1602"/>
    <w:rsid w:val="006F3ACF"/>
    <w:rsid w:val="006F7F73"/>
    <w:rsid w:val="00702FA9"/>
    <w:rsid w:val="00703AC7"/>
    <w:rsid w:val="007174AB"/>
    <w:rsid w:val="00724F04"/>
    <w:rsid w:val="007411AF"/>
    <w:rsid w:val="00743B02"/>
    <w:rsid w:val="007650D1"/>
    <w:rsid w:val="007842A8"/>
    <w:rsid w:val="007924D5"/>
    <w:rsid w:val="00795431"/>
    <w:rsid w:val="0079543A"/>
    <w:rsid w:val="007A6DA0"/>
    <w:rsid w:val="007A777B"/>
    <w:rsid w:val="007C36E9"/>
    <w:rsid w:val="007E377C"/>
    <w:rsid w:val="00813013"/>
    <w:rsid w:val="00814417"/>
    <w:rsid w:val="00816997"/>
    <w:rsid w:val="00816A3E"/>
    <w:rsid w:val="00816B5A"/>
    <w:rsid w:val="00834748"/>
    <w:rsid w:val="00835294"/>
    <w:rsid w:val="008406B1"/>
    <w:rsid w:val="0084076D"/>
    <w:rsid w:val="00842309"/>
    <w:rsid w:val="00844609"/>
    <w:rsid w:val="00860543"/>
    <w:rsid w:val="00871778"/>
    <w:rsid w:val="008735B7"/>
    <w:rsid w:val="0087616B"/>
    <w:rsid w:val="008C3CAB"/>
    <w:rsid w:val="008D267C"/>
    <w:rsid w:val="008D5E0F"/>
    <w:rsid w:val="008F2F55"/>
    <w:rsid w:val="008F585E"/>
    <w:rsid w:val="0090539F"/>
    <w:rsid w:val="00910448"/>
    <w:rsid w:val="009142CE"/>
    <w:rsid w:val="009209BB"/>
    <w:rsid w:val="0093017B"/>
    <w:rsid w:val="00930B73"/>
    <w:rsid w:val="009554C9"/>
    <w:rsid w:val="00957BD5"/>
    <w:rsid w:val="009737C4"/>
    <w:rsid w:val="009752B0"/>
    <w:rsid w:val="009A1608"/>
    <w:rsid w:val="009A1A3C"/>
    <w:rsid w:val="009B3BD4"/>
    <w:rsid w:val="009C0990"/>
    <w:rsid w:val="009C0A29"/>
    <w:rsid w:val="009C675B"/>
    <w:rsid w:val="009C773D"/>
    <w:rsid w:val="009D64D3"/>
    <w:rsid w:val="009F1281"/>
    <w:rsid w:val="009F69BB"/>
    <w:rsid w:val="00A006D5"/>
    <w:rsid w:val="00A030A5"/>
    <w:rsid w:val="00A10EC1"/>
    <w:rsid w:val="00A14087"/>
    <w:rsid w:val="00A155CC"/>
    <w:rsid w:val="00A161CC"/>
    <w:rsid w:val="00A26852"/>
    <w:rsid w:val="00A35D80"/>
    <w:rsid w:val="00A45FBC"/>
    <w:rsid w:val="00A57202"/>
    <w:rsid w:val="00A730A8"/>
    <w:rsid w:val="00A7472D"/>
    <w:rsid w:val="00A74E75"/>
    <w:rsid w:val="00A76121"/>
    <w:rsid w:val="00A9324A"/>
    <w:rsid w:val="00AA5DDA"/>
    <w:rsid w:val="00AB1246"/>
    <w:rsid w:val="00AB4880"/>
    <w:rsid w:val="00AB534D"/>
    <w:rsid w:val="00AC2440"/>
    <w:rsid w:val="00AD0EE0"/>
    <w:rsid w:val="00AD4550"/>
    <w:rsid w:val="00AD4D87"/>
    <w:rsid w:val="00AD6BB1"/>
    <w:rsid w:val="00AF1B3F"/>
    <w:rsid w:val="00B21C75"/>
    <w:rsid w:val="00B22383"/>
    <w:rsid w:val="00B361D8"/>
    <w:rsid w:val="00B5150E"/>
    <w:rsid w:val="00B84902"/>
    <w:rsid w:val="00B97807"/>
    <w:rsid w:val="00BA01FF"/>
    <w:rsid w:val="00BA061C"/>
    <w:rsid w:val="00BB0AB1"/>
    <w:rsid w:val="00BB15E9"/>
    <w:rsid w:val="00BB573B"/>
    <w:rsid w:val="00BB6B23"/>
    <w:rsid w:val="00BD4A5C"/>
    <w:rsid w:val="00BD73B1"/>
    <w:rsid w:val="00BE1BF1"/>
    <w:rsid w:val="00BE2C24"/>
    <w:rsid w:val="00C13CD6"/>
    <w:rsid w:val="00C1428A"/>
    <w:rsid w:val="00C25CE1"/>
    <w:rsid w:val="00C3511C"/>
    <w:rsid w:val="00C74004"/>
    <w:rsid w:val="00C75291"/>
    <w:rsid w:val="00C756C8"/>
    <w:rsid w:val="00C86736"/>
    <w:rsid w:val="00C97EE2"/>
    <w:rsid w:val="00CB2145"/>
    <w:rsid w:val="00CC2A88"/>
    <w:rsid w:val="00CD2FF2"/>
    <w:rsid w:val="00CE1F04"/>
    <w:rsid w:val="00CF2C2E"/>
    <w:rsid w:val="00D01C56"/>
    <w:rsid w:val="00D10B8A"/>
    <w:rsid w:val="00D11DFF"/>
    <w:rsid w:val="00D13F90"/>
    <w:rsid w:val="00D20321"/>
    <w:rsid w:val="00D31C19"/>
    <w:rsid w:val="00D34BE9"/>
    <w:rsid w:val="00D37CFD"/>
    <w:rsid w:val="00D5370B"/>
    <w:rsid w:val="00D5467B"/>
    <w:rsid w:val="00D56BE2"/>
    <w:rsid w:val="00D619FE"/>
    <w:rsid w:val="00D873A6"/>
    <w:rsid w:val="00DA17C0"/>
    <w:rsid w:val="00DA31E9"/>
    <w:rsid w:val="00DB00F4"/>
    <w:rsid w:val="00DB1608"/>
    <w:rsid w:val="00DD0DE1"/>
    <w:rsid w:val="00DF056F"/>
    <w:rsid w:val="00DF1433"/>
    <w:rsid w:val="00E07D2D"/>
    <w:rsid w:val="00E11002"/>
    <w:rsid w:val="00E3030C"/>
    <w:rsid w:val="00E30550"/>
    <w:rsid w:val="00E4032B"/>
    <w:rsid w:val="00E4448E"/>
    <w:rsid w:val="00E45D79"/>
    <w:rsid w:val="00E501D0"/>
    <w:rsid w:val="00E51E3D"/>
    <w:rsid w:val="00E5601C"/>
    <w:rsid w:val="00E6754D"/>
    <w:rsid w:val="00E719BE"/>
    <w:rsid w:val="00E806D5"/>
    <w:rsid w:val="00E86B59"/>
    <w:rsid w:val="00E909D3"/>
    <w:rsid w:val="00EA769A"/>
    <w:rsid w:val="00EA790D"/>
    <w:rsid w:val="00EB6457"/>
    <w:rsid w:val="00EC62D5"/>
    <w:rsid w:val="00EC7287"/>
    <w:rsid w:val="00EE57F3"/>
    <w:rsid w:val="00F209A6"/>
    <w:rsid w:val="00F21F5F"/>
    <w:rsid w:val="00F223E6"/>
    <w:rsid w:val="00F37C99"/>
    <w:rsid w:val="00F37D8A"/>
    <w:rsid w:val="00F40D03"/>
    <w:rsid w:val="00F55D36"/>
    <w:rsid w:val="00F66CD2"/>
    <w:rsid w:val="00F740D3"/>
    <w:rsid w:val="00F76B73"/>
    <w:rsid w:val="00F83B88"/>
    <w:rsid w:val="00F8536A"/>
    <w:rsid w:val="00F96445"/>
    <w:rsid w:val="00FA7E13"/>
    <w:rsid w:val="00FB4132"/>
    <w:rsid w:val="00FD066B"/>
    <w:rsid w:val="00FD0B71"/>
    <w:rsid w:val="00FE186C"/>
    <w:rsid w:val="00FE1FE2"/>
    <w:rsid w:val="00FE2B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AEF89"/>
  <w15:chartTrackingRefBased/>
  <w15:docId w15:val="{5FEA4262-DF91-4452-8B1E-C23C37005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1335"/>
    <w:pPr>
      <w:spacing w:before="240" w:after="240"/>
      <w:ind w:left="288"/>
    </w:pPr>
    <w:rPr>
      <w:rFonts w:ascii="Gotham Book" w:hAnsi="Gotham Book"/>
      <w:color w:val="231F20"/>
    </w:rPr>
  </w:style>
  <w:style w:type="paragraph" w:styleId="Heading1">
    <w:name w:val="heading 1"/>
    <w:basedOn w:val="Normal"/>
    <w:next w:val="Normal"/>
    <w:link w:val="Heading1Char"/>
    <w:uiPriority w:val="9"/>
    <w:qFormat/>
    <w:rsid w:val="00391335"/>
    <w:pPr>
      <w:keepNext/>
      <w:keepLines/>
      <w:pageBreakBefore/>
      <w:ind w:left="0"/>
      <w:outlineLvl w:val="0"/>
    </w:pPr>
    <w:rPr>
      <w:rFonts w:ascii="Gotham Medium" w:eastAsiaTheme="majorEastAsia" w:hAnsi="Gotham Medium" w:cstheme="majorBidi"/>
      <w:b/>
      <w:color w:val="034EA2"/>
      <w:sz w:val="32"/>
      <w:szCs w:val="32"/>
    </w:rPr>
  </w:style>
  <w:style w:type="paragraph" w:styleId="Heading2">
    <w:name w:val="heading 2"/>
    <w:basedOn w:val="Normal"/>
    <w:next w:val="Normal"/>
    <w:link w:val="Heading2Char"/>
    <w:uiPriority w:val="9"/>
    <w:unhideWhenUsed/>
    <w:qFormat/>
    <w:rsid w:val="00391335"/>
    <w:pPr>
      <w:keepNext/>
      <w:keepLines/>
      <w:ind w:left="0"/>
      <w:outlineLvl w:val="1"/>
    </w:pPr>
    <w:rPr>
      <w:rFonts w:ascii="Gotham Medium" w:eastAsiaTheme="majorEastAsia" w:hAnsi="Gotham Medium" w:cstheme="majorBidi"/>
      <w:color w:val="034EA2"/>
      <w:sz w:val="26"/>
      <w:szCs w:val="26"/>
    </w:rPr>
  </w:style>
  <w:style w:type="paragraph" w:styleId="Heading3">
    <w:name w:val="heading 3"/>
    <w:basedOn w:val="Normal"/>
    <w:next w:val="Normal"/>
    <w:link w:val="Heading3Char"/>
    <w:uiPriority w:val="9"/>
    <w:unhideWhenUsed/>
    <w:qFormat/>
    <w:rsid w:val="00391335"/>
    <w:pPr>
      <w:keepNext/>
      <w:keepLines/>
      <w:spacing w:before="40" w:after="0"/>
      <w:outlineLvl w:val="2"/>
    </w:pPr>
    <w:rPr>
      <w:rFonts w:eastAsiaTheme="majorEastAsia"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335"/>
    <w:rPr>
      <w:rFonts w:ascii="Gotham Medium" w:eastAsiaTheme="majorEastAsia" w:hAnsi="Gotham Medium" w:cstheme="majorBidi"/>
      <w:b/>
      <w:color w:val="034EA2"/>
      <w:sz w:val="32"/>
      <w:szCs w:val="32"/>
    </w:rPr>
  </w:style>
  <w:style w:type="character" w:customStyle="1" w:styleId="Heading2Char">
    <w:name w:val="Heading 2 Char"/>
    <w:basedOn w:val="DefaultParagraphFont"/>
    <w:link w:val="Heading2"/>
    <w:uiPriority w:val="9"/>
    <w:rsid w:val="00391335"/>
    <w:rPr>
      <w:rFonts w:ascii="Gotham Medium" w:eastAsiaTheme="majorEastAsia" w:hAnsi="Gotham Medium" w:cstheme="majorBidi"/>
      <w:color w:val="034EA2"/>
      <w:sz w:val="26"/>
      <w:szCs w:val="26"/>
    </w:rPr>
  </w:style>
  <w:style w:type="paragraph" w:styleId="Title">
    <w:name w:val="Title"/>
    <w:basedOn w:val="Normal"/>
    <w:next w:val="Normal"/>
    <w:link w:val="TitleChar"/>
    <w:uiPriority w:val="10"/>
    <w:qFormat/>
    <w:rsid w:val="006C56AF"/>
    <w:pPr>
      <w:spacing w:before="10000" w:after="0" w:line="240" w:lineRule="auto"/>
      <w:contextualSpacing/>
      <w:jc w:val="right"/>
    </w:pPr>
    <w:rPr>
      <w:rFonts w:eastAsiaTheme="majorEastAsia" w:cstheme="majorBidi"/>
      <w:color w:val="FFFFFF" w:themeColor="background1"/>
      <w:spacing w:val="-10"/>
      <w:kern w:val="28"/>
      <w:sz w:val="64"/>
      <w:szCs w:val="56"/>
      <w14:textOutline w14:w="9525" w14:cap="rnd" w14:cmpd="sng" w14:algn="ctr">
        <w14:solidFill>
          <w14:srgbClr w14:val="034EA2"/>
        </w14:solidFill>
        <w14:prstDash w14:val="solid"/>
        <w14:bevel/>
      </w14:textOutline>
    </w:rPr>
  </w:style>
  <w:style w:type="character" w:customStyle="1" w:styleId="TitleChar">
    <w:name w:val="Title Char"/>
    <w:basedOn w:val="DefaultParagraphFont"/>
    <w:link w:val="Title"/>
    <w:uiPriority w:val="10"/>
    <w:rsid w:val="006C56AF"/>
    <w:rPr>
      <w:rFonts w:ascii="Gotham Book" w:eastAsiaTheme="majorEastAsia" w:hAnsi="Gotham Book" w:cstheme="majorBidi"/>
      <w:color w:val="FFFFFF" w:themeColor="background1"/>
      <w:spacing w:val="-10"/>
      <w:kern w:val="28"/>
      <w:sz w:val="64"/>
      <w:szCs w:val="56"/>
      <w14:textOutline w14:w="9525" w14:cap="rnd" w14:cmpd="sng" w14:algn="ctr">
        <w14:solidFill>
          <w14:srgbClr w14:val="034EA2"/>
        </w14:solidFill>
        <w14:prstDash w14:val="solid"/>
        <w14:bevel/>
      </w14:textOutline>
    </w:rPr>
  </w:style>
  <w:style w:type="paragraph" w:styleId="TOCHeading">
    <w:name w:val="TOC Heading"/>
    <w:basedOn w:val="Heading1"/>
    <w:next w:val="Normal"/>
    <w:uiPriority w:val="39"/>
    <w:unhideWhenUsed/>
    <w:qFormat/>
    <w:rsid w:val="009554C9"/>
    <w:pPr>
      <w:pageBreakBefore w:val="0"/>
      <w:spacing w:after="0"/>
      <w:outlineLvl w:val="9"/>
    </w:pPr>
  </w:style>
  <w:style w:type="paragraph" w:styleId="TOC1">
    <w:name w:val="toc 1"/>
    <w:basedOn w:val="Normal"/>
    <w:next w:val="Normal"/>
    <w:autoRedefine/>
    <w:uiPriority w:val="39"/>
    <w:unhideWhenUsed/>
    <w:rsid w:val="00200622"/>
    <w:pPr>
      <w:spacing w:before="120" w:after="0"/>
      <w:ind w:left="0"/>
    </w:pPr>
    <w:rPr>
      <w:rFonts w:cstheme="minorHAnsi"/>
      <w:b/>
      <w:bCs/>
      <w:sz w:val="24"/>
      <w:szCs w:val="24"/>
    </w:rPr>
  </w:style>
  <w:style w:type="character" w:styleId="Hyperlink">
    <w:name w:val="Hyperlink"/>
    <w:basedOn w:val="DefaultParagraphFont"/>
    <w:uiPriority w:val="99"/>
    <w:unhideWhenUsed/>
    <w:rsid w:val="00200622"/>
    <w:rPr>
      <w:color w:val="0563C1" w:themeColor="hyperlink"/>
      <w:u w:val="single"/>
    </w:rPr>
  </w:style>
  <w:style w:type="paragraph" w:styleId="TOC2">
    <w:name w:val="toc 2"/>
    <w:basedOn w:val="Normal"/>
    <w:next w:val="Normal"/>
    <w:autoRedefine/>
    <w:uiPriority w:val="39"/>
    <w:unhideWhenUsed/>
    <w:rsid w:val="00200622"/>
    <w:pPr>
      <w:spacing w:before="0" w:after="0"/>
      <w:ind w:left="220"/>
    </w:pPr>
    <w:rPr>
      <w:rFonts w:cstheme="minorHAnsi"/>
      <w:b/>
      <w:bCs/>
    </w:rPr>
  </w:style>
  <w:style w:type="table" w:styleId="TableGrid">
    <w:name w:val="Table Grid"/>
    <w:basedOn w:val="TableNormal"/>
    <w:uiPriority w:val="39"/>
    <w:rsid w:val="009554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3">
    <w:name w:val="List Table 3 Accent 3"/>
    <w:basedOn w:val="TableNormal"/>
    <w:uiPriority w:val="48"/>
    <w:rsid w:val="009554C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ListParagraph">
    <w:name w:val="List Paragraph"/>
    <w:basedOn w:val="Normal"/>
    <w:uiPriority w:val="34"/>
    <w:qFormat/>
    <w:rsid w:val="009554C9"/>
    <w:pPr>
      <w:ind w:left="720"/>
      <w:contextualSpacing/>
    </w:pPr>
  </w:style>
  <w:style w:type="paragraph" w:styleId="Caption">
    <w:name w:val="caption"/>
    <w:aliases w:val="TableCaption,Citrix Caption"/>
    <w:basedOn w:val="Normal"/>
    <w:next w:val="Normal"/>
    <w:link w:val="CaptionChar"/>
    <w:uiPriority w:val="35"/>
    <w:unhideWhenUsed/>
    <w:qFormat/>
    <w:rsid w:val="009554C9"/>
    <w:pPr>
      <w:spacing w:after="200" w:line="240" w:lineRule="auto"/>
      <w:jc w:val="center"/>
    </w:pPr>
    <w:rPr>
      <w:iCs/>
      <w:color w:val="034EA2"/>
      <w:sz w:val="18"/>
      <w:szCs w:val="18"/>
    </w:rPr>
  </w:style>
  <w:style w:type="paragraph" w:styleId="Subtitle">
    <w:name w:val="Subtitle"/>
    <w:basedOn w:val="Normal"/>
    <w:next w:val="Normal"/>
    <w:link w:val="SubtitleChar"/>
    <w:uiPriority w:val="11"/>
    <w:qFormat/>
    <w:rsid w:val="0048698D"/>
    <w:pPr>
      <w:numPr>
        <w:ilvl w:val="1"/>
      </w:numPr>
      <w:ind w:left="288"/>
      <w:jc w:val="right"/>
    </w:pPr>
    <w:rPr>
      <w:rFonts w:eastAsiaTheme="minorEastAsia"/>
      <w:b/>
      <w:color w:val="FFFFFF" w:themeColor="background1"/>
      <w:spacing w:val="15"/>
    </w:rPr>
  </w:style>
  <w:style w:type="character" w:customStyle="1" w:styleId="SubtitleChar">
    <w:name w:val="Subtitle Char"/>
    <w:basedOn w:val="DefaultParagraphFont"/>
    <w:link w:val="Subtitle"/>
    <w:uiPriority w:val="11"/>
    <w:rsid w:val="0048698D"/>
    <w:rPr>
      <w:rFonts w:eastAsiaTheme="minorEastAsia"/>
      <w:b/>
      <w:color w:val="FFFFFF" w:themeColor="background1"/>
      <w:spacing w:val="15"/>
    </w:rPr>
  </w:style>
  <w:style w:type="paragraph" w:styleId="Header">
    <w:name w:val="header"/>
    <w:basedOn w:val="Normal"/>
    <w:link w:val="HeaderChar"/>
    <w:uiPriority w:val="99"/>
    <w:unhideWhenUsed/>
    <w:rsid w:val="0048698D"/>
    <w:pPr>
      <w:tabs>
        <w:tab w:val="center" w:pos="4680"/>
        <w:tab w:val="right" w:pos="9360"/>
      </w:tabs>
      <w:spacing w:before="0" w:after="0" w:line="240" w:lineRule="auto"/>
      <w:ind w:left="0"/>
    </w:pPr>
  </w:style>
  <w:style w:type="character" w:customStyle="1" w:styleId="HeaderChar">
    <w:name w:val="Header Char"/>
    <w:basedOn w:val="DefaultParagraphFont"/>
    <w:link w:val="Header"/>
    <w:uiPriority w:val="99"/>
    <w:rsid w:val="0048698D"/>
    <w:rPr>
      <w:color w:val="231F20"/>
    </w:rPr>
  </w:style>
  <w:style w:type="paragraph" w:styleId="Footer">
    <w:name w:val="footer"/>
    <w:basedOn w:val="Normal"/>
    <w:link w:val="FooterChar"/>
    <w:uiPriority w:val="99"/>
    <w:unhideWhenUsed/>
    <w:rsid w:val="000F3AC1"/>
    <w:pPr>
      <w:tabs>
        <w:tab w:val="center" w:pos="4680"/>
        <w:tab w:val="right" w:pos="9360"/>
      </w:tabs>
      <w:spacing w:before="0" w:after="0" w:line="240" w:lineRule="auto"/>
      <w:jc w:val="right"/>
    </w:pPr>
  </w:style>
  <w:style w:type="character" w:customStyle="1" w:styleId="FooterChar">
    <w:name w:val="Footer Char"/>
    <w:basedOn w:val="DefaultParagraphFont"/>
    <w:link w:val="Footer"/>
    <w:uiPriority w:val="99"/>
    <w:rsid w:val="000F3AC1"/>
    <w:rPr>
      <w:color w:val="231F20"/>
    </w:rPr>
  </w:style>
  <w:style w:type="paragraph" w:styleId="ListBullet">
    <w:name w:val="List Bullet"/>
    <w:basedOn w:val="Normal"/>
    <w:uiPriority w:val="99"/>
    <w:unhideWhenUsed/>
    <w:rsid w:val="00DA17C0"/>
    <w:pPr>
      <w:numPr>
        <w:numId w:val="1"/>
      </w:numPr>
      <w:spacing w:before="0" w:after="160"/>
      <w:contextualSpacing/>
    </w:pPr>
    <w:rPr>
      <w:color w:val="auto"/>
    </w:rPr>
  </w:style>
  <w:style w:type="character" w:customStyle="1" w:styleId="CaptionChar">
    <w:name w:val="Caption Char"/>
    <w:aliases w:val="TableCaption Char,Citrix Caption Char"/>
    <w:basedOn w:val="DefaultParagraphFont"/>
    <w:link w:val="Caption"/>
    <w:uiPriority w:val="35"/>
    <w:rsid w:val="00DA17C0"/>
    <w:rPr>
      <w:iCs/>
      <w:color w:val="034EA2"/>
      <w:sz w:val="18"/>
      <w:szCs w:val="18"/>
    </w:rPr>
  </w:style>
  <w:style w:type="character" w:customStyle="1" w:styleId="Heading3Char">
    <w:name w:val="Heading 3 Char"/>
    <w:basedOn w:val="DefaultParagraphFont"/>
    <w:link w:val="Heading3"/>
    <w:uiPriority w:val="9"/>
    <w:rsid w:val="00391335"/>
    <w:rPr>
      <w:rFonts w:ascii="Gotham Book" w:eastAsiaTheme="majorEastAsia" w:hAnsi="Gotham Book" w:cstheme="majorBidi"/>
      <w:color w:val="1F4D78" w:themeColor="accent1" w:themeShade="7F"/>
      <w:sz w:val="24"/>
      <w:szCs w:val="24"/>
    </w:rPr>
  </w:style>
  <w:style w:type="paragraph" w:styleId="TOC3">
    <w:name w:val="toc 3"/>
    <w:basedOn w:val="Normal"/>
    <w:next w:val="Normal"/>
    <w:autoRedefine/>
    <w:uiPriority w:val="39"/>
    <w:unhideWhenUsed/>
    <w:rsid w:val="009C773D"/>
    <w:pPr>
      <w:spacing w:before="0" w:after="0"/>
      <w:ind w:left="440"/>
    </w:pPr>
    <w:rPr>
      <w:rFonts w:cstheme="minorHAnsi"/>
    </w:rPr>
  </w:style>
  <w:style w:type="character" w:customStyle="1" w:styleId="ph">
    <w:name w:val="ph"/>
    <w:basedOn w:val="DefaultParagraphFont"/>
    <w:rsid w:val="00F76B73"/>
  </w:style>
  <w:style w:type="paragraph" w:styleId="HTMLPreformatted">
    <w:name w:val="HTML Preformatted"/>
    <w:basedOn w:val="Normal"/>
    <w:link w:val="HTMLPreformattedChar"/>
    <w:uiPriority w:val="99"/>
    <w:semiHidden/>
    <w:unhideWhenUsed/>
    <w:rsid w:val="00F76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76B73"/>
    <w:rPr>
      <w:rFonts w:ascii="Courier New" w:hAnsi="Courier New" w:cs="Courier New"/>
      <w:sz w:val="20"/>
      <w:szCs w:val="20"/>
    </w:rPr>
  </w:style>
  <w:style w:type="paragraph" w:customStyle="1" w:styleId="p">
    <w:name w:val="p"/>
    <w:basedOn w:val="Normal"/>
    <w:rsid w:val="00F76B73"/>
    <w:pPr>
      <w:spacing w:before="100" w:beforeAutospacing="1" w:after="100" w:afterAutospacing="1" w:line="240" w:lineRule="auto"/>
      <w:ind w:left="0"/>
    </w:pPr>
    <w:rPr>
      <w:rFonts w:ascii="Times New Roman" w:hAnsi="Times New Roman" w:cs="Times New Roman"/>
      <w:color w:val="auto"/>
      <w:sz w:val="24"/>
      <w:szCs w:val="24"/>
    </w:rPr>
  </w:style>
  <w:style w:type="character" w:customStyle="1" w:styleId="apple-converted-space">
    <w:name w:val="apple-converted-space"/>
    <w:basedOn w:val="DefaultParagraphFont"/>
    <w:rsid w:val="009209BB"/>
  </w:style>
  <w:style w:type="paragraph" w:styleId="DocumentMap">
    <w:name w:val="Document Map"/>
    <w:basedOn w:val="Normal"/>
    <w:link w:val="DocumentMapChar"/>
    <w:uiPriority w:val="99"/>
    <w:semiHidden/>
    <w:unhideWhenUsed/>
    <w:rsid w:val="00204DD6"/>
    <w:pPr>
      <w:spacing w:before="0"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204DD6"/>
    <w:rPr>
      <w:rFonts w:ascii="Times New Roman" w:hAnsi="Times New Roman" w:cs="Times New Roman"/>
      <w:color w:val="231F20"/>
      <w:sz w:val="24"/>
      <w:szCs w:val="24"/>
    </w:rPr>
  </w:style>
  <w:style w:type="paragraph" w:styleId="TOC4">
    <w:name w:val="toc 4"/>
    <w:basedOn w:val="Normal"/>
    <w:next w:val="Normal"/>
    <w:autoRedefine/>
    <w:uiPriority w:val="39"/>
    <w:unhideWhenUsed/>
    <w:rsid w:val="001529F3"/>
    <w:pPr>
      <w:spacing w:before="0" w:after="0"/>
      <w:ind w:left="660"/>
    </w:pPr>
    <w:rPr>
      <w:rFonts w:cstheme="minorHAnsi"/>
      <w:sz w:val="20"/>
      <w:szCs w:val="20"/>
    </w:rPr>
  </w:style>
  <w:style w:type="paragraph" w:styleId="TOC7">
    <w:name w:val="toc 7"/>
    <w:basedOn w:val="Normal"/>
    <w:next w:val="Normal"/>
    <w:autoRedefine/>
    <w:uiPriority w:val="39"/>
    <w:unhideWhenUsed/>
    <w:rsid w:val="001529F3"/>
    <w:pPr>
      <w:spacing w:before="0" w:after="0"/>
      <w:ind w:left="1320"/>
    </w:pPr>
    <w:rPr>
      <w:rFonts w:cstheme="minorHAnsi"/>
      <w:sz w:val="20"/>
      <w:szCs w:val="20"/>
    </w:rPr>
  </w:style>
  <w:style w:type="paragraph" w:styleId="TOC5">
    <w:name w:val="toc 5"/>
    <w:basedOn w:val="Normal"/>
    <w:next w:val="Normal"/>
    <w:autoRedefine/>
    <w:uiPriority w:val="39"/>
    <w:unhideWhenUsed/>
    <w:rsid w:val="001529F3"/>
    <w:pPr>
      <w:spacing w:before="0" w:after="0"/>
      <w:ind w:left="880"/>
    </w:pPr>
    <w:rPr>
      <w:rFonts w:cstheme="minorHAnsi"/>
      <w:sz w:val="20"/>
      <w:szCs w:val="20"/>
    </w:rPr>
  </w:style>
  <w:style w:type="paragraph" w:styleId="TOC6">
    <w:name w:val="toc 6"/>
    <w:basedOn w:val="Normal"/>
    <w:next w:val="Normal"/>
    <w:autoRedefine/>
    <w:uiPriority w:val="39"/>
    <w:unhideWhenUsed/>
    <w:rsid w:val="001529F3"/>
    <w:pPr>
      <w:spacing w:before="0" w:after="0"/>
      <w:ind w:left="1100"/>
    </w:pPr>
    <w:rPr>
      <w:rFonts w:cstheme="minorHAnsi"/>
      <w:sz w:val="20"/>
      <w:szCs w:val="20"/>
    </w:rPr>
  </w:style>
  <w:style w:type="paragraph" w:styleId="TOC8">
    <w:name w:val="toc 8"/>
    <w:basedOn w:val="Normal"/>
    <w:next w:val="Normal"/>
    <w:autoRedefine/>
    <w:uiPriority w:val="39"/>
    <w:unhideWhenUsed/>
    <w:rsid w:val="001529F3"/>
    <w:pPr>
      <w:spacing w:before="0" w:after="0"/>
      <w:ind w:left="1540"/>
    </w:pPr>
    <w:rPr>
      <w:rFonts w:cstheme="minorHAnsi"/>
      <w:sz w:val="20"/>
      <w:szCs w:val="20"/>
    </w:rPr>
  </w:style>
  <w:style w:type="paragraph" w:styleId="TOC9">
    <w:name w:val="toc 9"/>
    <w:basedOn w:val="Normal"/>
    <w:next w:val="Normal"/>
    <w:autoRedefine/>
    <w:uiPriority w:val="39"/>
    <w:unhideWhenUsed/>
    <w:rsid w:val="001529F3"/>
    <w:pPr>
      <w:spacing w:before="0" w:after="0"/>
      <w:ind w:left="1760"/>
    </w:pPr>
    <w:rPr>
      <w:rFonts w:cstheme="minorHAnsi"/>
      <w:sz w:val="20"/>
      <w:szCs w:val="20"/>
    </w:rPr>
  </w:style>
  <w:style w:type="paragraph" w:styleId="FootnoteText">
    <w:name w:val="footnote text"/>
    <w:basedOn w:val="Normal"/>
    <w:link w:val="FootnoteTextChar"/>
    <w:uiPriority w:val="99"/>
    <w:unhideWhenUsed/>
    <w:rsid w:val="002470FB"/>
    <w:pPr>
      <w:spacing w:before="0" w:after="0" w:line="240" w:lineRule="auto"/>
    </w:pPr>
    <w:rPr>
      <w:sz w:val="24"/>
      <w:szCs w:val="24"/>
    </w:rPr>
  </w:style>
  <w:style w:type="character" w:customStyle="1" w:styleId="FootnoteTextChar">
    <w:name w:val="Footnote Text Char"/>
    <w:basedOn w:val="DefaultParagraphFont"/>
    <w:link w:val="FootnoteText"/>
    <w:uiPriority w:val="99"/>
    <w:rsid w:val="002470FB"/>
    <w:rPr>
      <w:color w:val="231F20"/>
      <w:sz w:val="24"/>
      <w:szCs w:val="24"/>
    </w:rPr>
  </w:style>
  <w:style w:type="character" w:styleId="FootnoteReference">
    <w:name w:val="footnote reference"/>
    <w:basedOn w:val="DefaultParagraphFont"/>
    <w:uiPriority w:val="99"/>
    <w:unhideWhenUsed/>
    <w:rsid w:val="002470FB"/>
    <w:rPr>
      <w:vertAlign w:val="superscript"/>
    </w:rPr>
  </w:style>
  <w:style w:type="character" w:styleId="FollowedHyperlink">
    <w:name w:val="FollowedHyperlink"/>
    <w:basedOn w:val="DefaultParagraphFont"/>
    <w:uiPriority w:val="99"/>
    <w:semiHidden/>
    <w:unhideWhenUsed/>
    <w:rsid w:val="00337744"/>
    <w:rPr>
      <w:color w:val="954F72" w:themeColor="followedHyperlink"/>
      <w:u w:val="single"/>
    </w:rPr>
  </w:style>
  <w:style w:type="paragraph" w:styleId="NormalWeb">
    <w:name w:val="Normal (Web)"/>
    <w:basedOn w:val="Normal"/>
    <w:uiPriority w:val="99"/>
    <w:semiHidden/>
    <w:unhideWhenUsed/>
    <w:rsid w:val="00000FDA"/>
    <w:pPr>
      <w:spacing w:before="100" w:beforeAutospacing="1" w:after="100" w:afterAutospacing="1" w:line="240" w:lineRule="auto"/>
      <w:ind w:left="0"/>
    </w:pPr>
    <w:rPr>
      <w:rFonts w:ascii="Times New Roman" w:hAnsi="Times New Roman" w:cs="Times New Roman"/>
      <w:color w:val="auto"/>
      <w:sz w:val="24"/>
      <w:szCs w:val="24"/>
    </w:rPr>
  </w:style>
  <w:style w:type="character" w:customStyle="1" w:styleId="keyword">
    <w:name w:val="keyword"/>
    <w:basedOn w:val="DefaultParagraphFont"/>
    <w:rsid w:val="008F585E"/>
  </w:style>
  <w:style w:type="character" w:customStyle="1" w:styleId="notetitle">
    <w:name w:val="notetitle"/>
    <w:basedOn w:val="DefaultParagraphFont"/>
    <w:rsid w:val="008F585E"/>
  </w:style>
  <w:style w:type="character" w:styleId="HTMLVariable">
    <w:name w:val="HTML Variable"/>
    <w:basedOn w:val="DefaultParagraphFont"/>
    <w:uiPriority w:val="99"/>
    <w:semiHidden/>
    <w:unhideWhenUsed/>
    <w:rsid w:val="008F585E"/>
    <w:rPr>
      <w:i/>
      <w:iCs/>
    </w:rPr>
  </w:style>
  <w:style w:type="character" w:styleId="HTMLSample">
    <w:name w:val="HTML Sample"/>
    <w:basedOn w:val="DefaultParagraphFont"/>
    <w:uiPriority w:val="99"/>
    <w:semiHidden/>
    <w:unhideWhenUsed/>
    <w:rsid w:val="008F585E"/>
    <w:rPr>
      <w:rFonts w:ascii="Courier New" w:eastAsiaTheme="minorHAnsi" w:hAnsi="Courier New" w:cs="Courier New"/>
    </w:rPr>
  </w:style>
  <w:style w:type="character" w:styleId="HTMLCite">
    <w:name w:val="HTML Cite"/>
    <w:basedOn w:val="DefaultParagraphFont"/>
    <w:uiPriority w:val="99"/>
    <w:semiHidden/>
    <w:unhideWhenUsed/>
    <w:rsid w:val="001B7A76"/>
    <w:rPr>
      <w:i/>
      <w:iCs/>
    </w:rPr>
  </w:style>
  <w:style w:type="table" w:styleId="GridTable4-Accent1">
    <w:name w:val="Grid Table 4 Accent 1"/>
    <w:basedOn w:val="TableNormal"/>
    <w:uiPriority w:val="49"/>
    <w:rsid w:val="00054BD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2A75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stTable7Colorful-Accent5">
    <w:name w:val="List Table 7 Colorful Accent 5"/>
    <w:basedOn w:val="TableNormal"/>
    <w:uiPriority w:val="52"/>
    <w:rsid w:val="002A757D"/>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F83B88"/>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83B88"/>
    <w:rPr>
      <w:rFonts w:ascii="Times New Roman" w:hAnsi="Times New Roman" w:cs="Times New Roman"/>
      <w:color w:val="231F20"/>
      <w:sz w:val="18"/>
      <w:szCs w:val="18"/>
    </w:rPr>
  </w:style>
  <w:style w:type="paragraph" w:styleId="Revision">
    <w:name w:val="Revision"/>
    <w:hidden/>
    <w:uiPriority w:val="99"/>
    <w:semiHidden/>
    <w:rsid w:val="00F83B88"/>
    <w:pPr>
      <w:spacing w:after="0" w:line="240" w:lineRule="auto"/>
    </w:pPr>
    <w:rPr>
      <w:color w:val="231F20"/>
    </w:rPr>
  </w:style>
  <w:style w:type="paragraph" w:styleId="NoSpacing">
    <w:name w:val="No Spacing"/>
    <w:uiPriority w:val="1"/>
    <w:qFormat/>
    <w:rsid w:val="00F83B88"/>
    <w:pPr>
      <w:spacing w:after="0" w:line="240" w:lineRule="auto"/>
      <w:ind w:left="288"/>
    </w:pPr>
    <w:rPr>
      <w:color w:val="231F20"/>
    </w:rPr>
  </w:style>
  <w:style w:type="table" w:styleId="GridTable4-Accent5">
    <w:name w:val="Grid Table 4 Accent 5"/>
    <w:basedOn w:val="TableNormal"/>
    <w:uiPriority w:val="49"/>
    <w:rsid w:val="00DB00F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NutanixHeading2">
    <w:name w:val="Nutanix Heading 2"/>
    <w:basedOn w:val="Heading2"/>
    <w:qFormat/>
    <w:rsid w:val="00A9324A"/>
    <w:pPr>
      <w:ind w:left="720"/>
    </w:pPr>
  </w:style>
  <w:style w:type="paragraph" w:customStyle="1" w:styleId="NutanixReplaceText">
    <w:name w:val="Nutanix Replace Text"/>
    <w:basedOn w:val="Normal"/>
    <w:qFormat/>
    <w:rsid w:val="00394440"/>
    <w:pPr>
      <w:shd w:val="pct50" w:color="FFFF00" w:fill="auto"/>
    </w:pPr>
    <w:rPr>
      <w:color w:val="FF0000"/>
    </w:rPr>
  </w:style>
  <w:style w:type="table" w:customStyle="1" w:styleId="NutanixDarkBlueTableGrid5">
    <w:name w:val="Nutanix Dark Blue Table Grid 5"/>
    <w:basedOn w:val="GridTable5Dark-Accent5"/>
    <w:uiPriority w:val="99"/>
    <w:rsid w:val="007A6DA0"/>
    <w:rPr>
      <w:sz w:val="15"/>
      <w:szCs w:val="20"/>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Pr>
    <w:tcPr>
      <w:shd w:val="clear" w:color="auto" w:fill="D9E2F3" w:themeFill="accent5" w:themeFillTint="33"/>
    </w:tcPr>
    <w:tblStylePr w:type="firstRow">
      <w:rPr>
        <w:rFonts w:asciiTheme="minorHAnsi" w:hAnsiTheme="minorHAnsi"/>
        <w:b/>
        <w:bCs/>
        <w:color w:val="FFFFFF" w:themeColor="background1"/>
        <w:sz w:val="15"/>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5">
    <w:name w:val="Grid Table 5 Dark Accent 5"/>
    <w:basedOn w:val="TableNormal"/>
    <w:uiPriority w:val="50"/>
    <w:rsid w:val="00041F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NutanixBulletGreen">
    <w:name w:val="Nutanix Bullet Green"/>
    <w:basedOn w:val="ListParagraph"/>
    <w:qFormat/>
    <w:rsid w:val="002C35B4"/>
    <w:pPr>
      <w:numPr>
        <w:numId w:val="3"/>
      </w:numPr>
    </w:pPr>
  </w:style>
  <w:style w:type="table" w:customStyle="1" w:styleId="NutanixMediumBlueTableGrid6">
    <w:name w:val="Nutanix Medium Blue Table Grid 6"/>
    <w:basedOn w:val="GridTable4-Accent5"/>
    <w:uiPriority w:val="99"/>
    <w:rsid w:val="008C3CAB"/>
    <w:rPr>
      <w:sz w:val="15"/>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val="0"/>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B4C6E7" w:themeFill="accent5" w:themeFillTint="66"/>
      </w:tcPr>
    </w:tblStylePr>
    <w:tblStylePr w:type="band2Horz">
      <w:tblPr/>
      <w:tcPr>
        <w:shd w:val="clear" w:color="auto" w:fill="D9E2F3" w:themeFill="accent5" w:themeFillTint="33"/>
      </w:tcPr>
    </w:tblStylePr>
  </w:style>
  <w:style w:type="character" w:styleId="SubtleEmphasis">
    <w:name w:val="Subtle Emphasis"/>
    <w:basedOn w:val="DefaultParagraphFont"/>
    <w:uiPriority w:val="19"/>
    <w:qFormat/>
    <w:rsid w:val="006C56AF"/>
    <w:rPr>
      <w:i/>
      <w:iCs/>
      <w:color w:val="404040" w:themeColor="text1" w:themeTint="BF"/>
    </w:rPr>
  </w:style>
  <w:style w:type="character" w:styleId="Emphasis">
    <w:name w:val="Emphasis"/>
    <w:basedOn w:val="DefaultParagraphFont"/>
    <w:uiPriority w:val="20"/>
    <w:qFormat/>
    <w:rsid w:val="006C56AF"/>
    <w:rPr>
      <w:i/>
      <w:iCs/>
    </w:rPr>
  </w:style>
  <w:style w:type="character" w:styleId="IntenseEmphasis">
    <w:name w:val="Intense Emphasis"/>
    <w:basedOn w:val="DefaultParagraphFont"/>
    <w:uiPriority w:val="21"/>
    <w:qFormat/>
    <w:rsid w:val="006C56AF"/>
    <w:rPr>
      <w:i/>
      <w:iCs/>
      <w:color w:val="5B9BD5" w:themeColor="accent1"/>
    </w:rPr>
  </w:style>
  <w:style w:type="character" w:styleId="Strong">
    <w:name w:val="Strong"/>
    <w:basedOn w:val="DefaultParagraphFont"/>
    <w:uiPriority w:val="22"/>
    <w:qFormat/>
    <w:rsid w:val="006C56AF"/>
    <w:rPr>
      <w:b/>
      <w:bCs/>
    </w:rPr>
  </w:style>
  <w:style w:type="paragraph" w:styleId="Quote">
    <w:name w:val="Quote"/>
    <w:basedOn w:val="Normal"/>
    <w:next w:val="Normal"/>
    <w:link w:val="QuoteChar"/>
    <w:uiPriority w:val="29"/>
    <w:qFormat/>
    <w:rsid w:val="006C56A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C56AF"/>
    <w:rPr>
      <w:rFonts w:ascii="Gotham Book" w:hAnsi="Gotham Book"/>
      <w:i/>
      <w:iCs/>
      <w:color w:val="404040" w:themeColor="text1" w:themeTint="BF"/>
    </w:rPr>
  </w:style>
  <w:style w:type="paragraph" w:styleId="IntenseQuote">
    <w:name w:val="Intense Quote"/>
    <w:basedOn w:val="Normal"/>
    <w:next w:val="Normal"/>
    <w:link w:val="IntenseQuoteChar"/>
    <w:uiPriority w:val="30"/>
    <w:qFormat/>
    <w:rsid w:val="006C56A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C56AF"/>
    <w:rPr>
      <w:rFonts w:ascii="Gotham Book" w:hAnsi="Gotham Book"/>
      <w:i/>
      <w:iCs/>
      <w:color w:val="5B9BD5" w:themeColor="accent1"/>
    </w:rPr>
  </w:style>
  <w:style w:type="character" w:styleId="SubtleReference">
    <w:name w:val="Subtle Reference"/>
    <w:basedOn w:val="DefaultParagraphFont"/>
    <w:uiPriority w:val="31"/>
    <w:qFormat/>
    <w:rsid w:val="006C56AF"/>
    <w:rPr>
      <w:smallCaps/>
      <w:color w:val="5A5A5A" w:themeColor="text1" w:themeTint="A5"/>
    </w:rPr>
  </w:style>
  <w:style w:type="character" w:styleId="IntenseReference">
    <w:name w:val="Intense Reference"/>
    <w:basedOn w:val="DefaultParagraphFont"/>
    <w:uiPriority w:val="32"/>
    <w:qFormat/>
    <w:rsid w:val="006C56AF"/>
    <w:rPr>
      <w:b/>
      <w:bCs/>
      <w:smallCaps/>
      <w:color w:val="5B9BD5" w:themeColor="accent1"/>
      <w:spacing w:val="5"/>
    </w:rPr>
  </w:style>
  <w:style w:type="character" w:styleId="BookTitle">
    <w:name w:val="Book Title"/>
    <w:basedOn w:val="DefaultParagraphFont"/>
    <w:uiPriority w:val="33"/>
    <w:qFormat/>
    <w:rsid w:val="006C56AF"/>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366845">
      <w:bodyDiv w:val="1"/>
      <w:marLeft w:val="0"/>
      <w:marRight w:val="0"/>
      <w:marTop w:val="0"/>
      <w:marBottom w:val="0"/>
      <w:divBdr>
        <w:top w:val="none" w:sz="0" w:space="0" w:color="auto"/>
        <w:left w:val="none" w:sz="0" w:space="0" w:color="auto"/>
        <w:bottom w:val="none" w:sz="0" w:space="0" w:color="auto"/>
        <w:right w:val="none" w:sz="0" w:space="0" w:color="auto"/>
      </w:divBdr>
    </w:div>
    <w:div w:id="130635624">
      <w:bodyDiv w:val="1"/>
      <w:marLeft w:val="0"/>
      <w:marRight w:val="0"/>
      <w:marTop w:val="0"/>
      <w:marBottom w:val="0"/>
      <w:divBdr>
        <w:top w:val="none" w:sz="0" w:space="0" w:color="auto"/>
        <w:left w:val="none" w:sz="0" w:space="0" w:color="auto"/>
        <w:bottom w:val="none" w:sz="0" w:space="0" w:color="auto"/>
        <w:right w:val="none" w:sz="0" w:space="0" w:color="auto"/>
      </w:divBdr>
    </w:div>
    <w:div w:id="330375214">
      <w:bodyDiv w:val="1"/>
      <w:marLeft w:val="0"/>
      <w:marRight w:val="0"/>
      <w:marTop w:val="0"/>
      <w:marBottom w:val="0"/>
      <w:divBdr>
        <w:top w:val="none" w:sz="0" w:space="0" w:color="auto"/>
        <w:left w:val="none" w:sz="0" w:space="0" w:color="auto"/>
        <w:bottom w:val="none" w:sz="0" w:space="0" w:color="auto"/>
        <w:right w:val="none" w:sz="0" w:space="0" w:color="auto"/>
      </w:divBdr>
      <w:divsChild>
        <w:div w:id="1947150226">
          <w:marLeft w:val="0"/>
          <w:marRight w:val="0"/>
          <w:marTop w:val="0"/>
          <w:marBottom w:val="0"/>
          <w:divBdr>
            <w:top w:val="none" w:sz="0" w:space="0" w:color="auto"/>
            <w:left w:val="none" w:sz="0" w:space="0" w:color="auto"/>
            <w:bottom w:val="none" w:sz="0" w:space="0" w:color="auto"/>
            <w:right w:val="none" w:sz="0" w:space="0" w:color="auto"/>
          </w:divBdr>
        </w:div>
      </w:divsChild>
    </w:div>
    <w:div w:id="554464239">
      <w:bodyDiv w:val="1"/>
      <w:marLeft w:val="0"/>
      <w:marRight w:val="0"/>
      <w:marTop w:val="0"/>
      <w:marBottom w:val="0"/>
      <w:divBdr>
        <w:top w:val="none" w:sz="0" w:space="0" w:color="auto"/>
        <w:left w:val="none" w:sz="0" w:space="0" w:color="auto"/>
        <w:bottom w:val="none" w:sz="0" w:space="0" w:color="auto"/>
        <w:right w:val="none" w:sz="0" w:space="0" w:color="auto"/>
      </w:divBdr>
      <w:divsChild>
        <w:div w:id="2114782452">
          <w:marLeft w:val="0"/>
          <w:marRight w:val="0"/>
          <w:marTop w:val="0"/>
          <w:marBottom w:val="0"/>
          <w:divBdr>
            <w:top w:val="none" w:sz="0" w:space="0" w:color="auto"/>
            <w:left w:val="none" w:sz="0" w:space="0" w:color="auto"/>
            <w:bottom w:val="none" w:sz="0" w:space="0" w:color="auto"/>
            <w:right w:val="none" w:sz="0" w:space="0" w:color="auto"/>
          </w:divBdr>
        </w:div>
        <w:div w:id="682589243">
          <w:marLeft w:val="0"/>
          <w:marRight w:val="0"/>
          <w:marTop w:val="0"/>
          <w:marBottom w:val="0"/>
          <w:divBdr>
            <w:top w:val="none" w:sz="0" w:space="0" w:color="auto"/>
            <w:left w:val="none" w:sz="0" w:space="0" w:color="auto"/>
            <w:bottom w:val="none" w:sz="0" w:space="0" w:color="auto"/>
            <w:right w:val="none" w:sz="0" w:space="0" w:color="auto"/>
          </w:divBdr>
          <w:divsChild>
            <w:div w:id="1393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01593">
      <w:bodyDiv w:val="1"/>
      <w:marLeft w:val="0"/>
      <w:marRight w:val="0"/>
      <w:marTop w:val="0"/>
      <w:marBottom w:val="0"/>
      <w:divBdr>
        <w:top w:val="none" w:sz="0" w:space="0" w:color="auto"/>
        <w:left w:val="none" w:sz="0" w:space="0" w:color="auto"/>
        <w:bottom w:val="none" w:sz="0" w:space="0" w:color="auto"/>
        <w:right w:val="none" w:sz="0" w:space="0" w:color="auto"/>
      </w:divBdr>
    </w:div>
    <w:div w:id="834422871">
      <w:bodyDiv w:val="1"/>
      <w:marLeft w:val="0"/>
      <w:marRight w:val="0"/>
      <w:marTop w:val="0"/>
      <w:marBottom w:val="0"/>
      <w:divBdr>
        <w:top w:val="none" w:sz="0" w:space="0" w:color="auto"/>
        <w:left w:val="none" w:sz="0" w:space="0" w:color="auto"/>
        <w:bottom w:val="none" w:sz="0" w:space="0" w:color="auto"/>
        <w:right w:val="none" w:sz="0" w:space="0" w:color="auto"/>
      </w:divBdr>
    </w:div>
    <w:div w:id="946892814">
      <w:bodyDiv w:val="1"/>
      <w:marLeft w:val="0"/>
      <w:marRight w:val="0"/>
      <w:marTop w:val="0"/>
      <w:marBottom w:val="0"/>
      <w:divBdr>
        <w:top w:val="none" w:sz="0" w:space="0" w:color="auto"/>
        <w:left w:val="none" w:sz="0" w:space="0" w:color="auto"/>
        <w:bottom w:val="none" w:sz="0" w:space="0" w:color="auto"/>
        <w:right w:val="none" w:sz="0" w:space="0" w:color="auto"/>
      </w:divBdr>
    </w:div>
    <w:div w:id="1155728766">
      <w:bodyDiv w:val="1"/>
      <w:marLeft w:val="0"/>
      <w:marRight w:val="0"/>
      <w:marTop w:val="0"/>
      <w:marBottom w:val="0"/>
      <w:divBdr>
        <w:top w:val="none" w:sz="0" w:space="0" w:color="auto"/>
        <w:left w:val="none" w:sz="0" w:space="0" w:color="auto"/>
        <w:bottom w:val="none" w:sz="0" w:space="0" w:color="auto"/>
        <w:right w:val="none" w:sz="0" w:space="0" w:color="auto"/>
      </w:divBdr>
    </w:div>
    <w:div w:id="1214077378">
      <w:bodyDiv w:val="1"/>
      <w:marLeft w:val="0"/>
      <w:marRight w:val="0"/>
      <w:marTop w:val="0"/>
      <w:marBottom w:val="0"/>
      <w:divBdr>
        <w:top w:val="none" w:sz="0" w:space="0" w:color="auto"/>
        <w:left w:val="none" w:sz="0" w:space="0" w:color="auto"/>
        <w:bottom w:val="none" w:sz="0" w:space="0" w:color="auto"/>
        <w:right w:val="none" w:sz="0" w:space="0" w:color="auto"/>
      </w:divBdr>
      <w:divsChild>
        <w:div w:id="1971129934">
          <w:marLeft w:val="0"/>
          <w:marRight w:val="0"/>
          <w:marTop w:val="150"/>
          <w:marBottom w:val="150"/>
          <w:divBdr>
            <w:top w:val="single" w:sz="6" w:space="8" w:color="7DD6F6"/>
            <w:left w:val="single" w:sz="6" w:space="8" w:color="7DD6F6"/>
            <w:bottom w:val="single" w:sz="6" w:space="8" w:color="7DD6F6"/>
            <w:right w:val="single" w:sz="6" w:space="8" w:color="7DD6F6"/>
          </w:divBdr>
        </w:div>
      </w:divsChild>
    </w:div>
    <w:div w:id="1239706747">
      <w:bodyDiv w:val="1"/>
      <w:marLeft w:val="0"/>
      <w:marRight w:val="0"/>
      <w:marTop w:val="0"/>
      <w:marBottom w:val="0"/>
      <w:divBdr>
        <w:top w:val="none" w:sz="0" w:space="0" w:color="auto"/>
        <w:left w:val="none" w:sz="0" w:space="0" w:color="auto"/>
        <w:bottom w:val="none" w:sz="0" w:space="0" w:color="auto"/>
        <w:right w:val="none" w:sz="0" w:space="0" w:color="auto"/>
      </w:divBdr>
    </w:div>
    <w:div w:id="1301811052">
      <w:bodyDiv w:val="1"/>
      <w:marLeft w:val="0"/>
      <w:marRight w:val="0"/>
      <w:marTop w:val="0"/>
      <w:marBottom w:val="0"/>
      <w:divBdr>
        <w:top w:val="none" w:sz="0" w:space="0" w:color="auto"/>
        <w:left w:val="none" w:sz="0" w:space="0" w:color="auto"/>
        <w:bottom w:val="none" w:sz="0" w:space="0" w:color="auto"/>
        <w:right w:val="none" w:sz="0" w:space="0" w:color="auto"/>
      </w:divBdr>
    </w:div>
    <w:div w:id="203627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download.nutanix.com/solutionsDocs/TN-2068-Infrastructure-Resiliency.pdf"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bit.ly/2E1hfhP" TargetMode="External"/><Relationship Id="rId22" Type="http://schemas.openxmlformats.org/officeDocument/2006/relationships/image" Target="media/image8.png"/><Relationship Id="rId23"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9B3FFDDBCAE6448113AB16EC656232" ma:contentTypeVersion="4" ma:contentTypeDescription="Create a new document." ma:contentTypeScope="" ma:versionID="f1441b64885e88a753f55a6931726d20">
  <xsd:schema xmlns:xsd="http://www.w3.org/2001/XMLSchema" xmlns:xs="http://www.w3.org/2001/XMLSchema" xmlns:p="http://schemas.microsoft.com/office/2006/metadata/properties" xmlns:ns2="09394ebb-22f6-43a7-86d6-a2522505b1fd" xmlns:ns3="3d8e56bc-023b-45ca-9628-a64ad5f9d5df" targetNamespace="http://schemas.microsoft.com/office/2006/metadata/properties" ma:root="true" ma:fieldsID="56ca68a55e17ac57f03af98873b49689" ns2:_="" ns3:_="">
    <xsd:import namespace="09394ebb-22f6-43a7-86d6-a2522505b1fd"/>
    <xsd:import namespace="3d8e56bc-023b-45ca-9628-a64ad5f9d5df"/>
    <xsd:element name="properties">
      <xsd:complexType>
        <xsd:sequence>
          <xsd:element name="documentManagement">
            <xsd:complexType>
              <xsd:all>
                <xsd:element ref="ns2:SharedWithUsers" minOccurs="0"/>
                <xsd:element ref="ns2: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394ebb-22f6-43a7-86d6-a2522505b1f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d8e56bc-023b-45ca-9628-a64ad5f9d5df" elementFormDefault="qualified">
    <xsd:import namespace="http://schemas.microsoft.com/office/2006/documentManagement/types"/>
    <xsd:import namespace="http://schemas.microsoft.com/office/infopath/2007/PartnerControls"/>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8729C-109E-4DE8-BABF-569A52D85B1A}">
  <ds:schemaRefs>
    <ds:schemaRef ds:uri="http://schemas.microsoft.com/sharepoint/v3/contenttype/forms"/>
  </ds:schemaRefs>
</ds:datastoreItem>
</file>

<file path=customXml/itemProps2.xml><?xml version="1.0" encoding="utf-8"?>
<ds:datastoreItem xmlns:ds="http://schemas.openxmlformats.org/officeDocument/2006/customXml" ds:itemID="{E4A68859-8B19-4CFD-AB78-C6907B5E93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394ebb-22f6-43a7-86d6-a2522505b1fd"/>
    <ds:schemaRef ds:uri="3d8e56bc-023b-45ca-9628-a64ad5f9d5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B05AE7-6EA1-4D33-911C-40F1EE39D9B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45FDCC4-861D-EB42-AA6C-F6E68B925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8</Pages>
  <Words>1241</Words>
  <Characters>7079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8304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Colborn</dc:creator>
  <cp:keywords/>
  <dc:description/>
  <cp:lastModifiedBy>Pearlin Sargunar</cp:lastModifiedBy>
  <cp:revision>35</cp:revision>
  <dcterms:created xsi:type="dcterms:W3CDTF">2016-11-23T15:25:00Z</dcterms:created>
  <dcterms:modified xsi:type="dcterms:W3CDTF">2019-03-07T08:24:00Z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0x010100249B3FFDDBCAE6448113AB16EC656232</vt:lpwstr>
  </property>
</Properties>
</file>