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REQUIREMENT COMPLIANCE MATRIX — WORKING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Purpose: respond to ATCO's requirement-by-requirement request without making unsupported claims.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one row per individual requirement. Duplicate rows as needed. This starter structure groups the requirements; it is not a completed compliance statement.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Requirement ID | Requirement summary | Proposed response / solution | Status (Included / Optional / Excluded / Deviation / Open) | Evidence / demo screen | Acceptance test ID | Dependency / ATCO input | One-time price line | Recurring / usage cost | Assumption / clarification | Approver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INITIAL REQUIREMENT GROUPS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RM-01 Service route and destinations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RM-02 Editable departures and schedule management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RM-03 SAR 500 initial one-way fare and approved VAT/tariff treatment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RM-04 Minimum four tickets or approved SAR 2,000 equivalent per sailing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RM-05 Multi-seat booking and aggregate threshold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RM-06 Separate outbound and return schedules/tickets/availability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RM-07 Passenger, material, combined and dedicated/charter categories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RM-08 Responsive Arabic/English web application and PWA option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RM-09 Separate iOS and Android app pricing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RM-10 Two or three design concepts and clickable prototype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RM-11 Individual, corporate and ship-agent registration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RM-12 Corporate authorized users, passengers, billing, PO, history and invoices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RM-13 Credit limits, terms and overdue controls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RM-14 Organization-level data isolation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RM-15 Booking selection, availability, price and passenger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RM-16 Unique reference, QR ticket, amendment/cancel/reschedule/download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RM-17 Paid/awaiting-minimum/operationally-confirmed status distinction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RM-18 Confirmation deadline and refund/reschedule workflow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RM-19 Duplicate retry protection and no overbooking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RM-20 Material details, attachments, tariffs and review/decision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RM-21 Vessel suitability, permits, insurance and restricted/hazardous controls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RM-22 Passenger/payload operating limits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RM-23 Payment gateway methods and provider evaluation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RM-24 Direct settlement to ATCO and no card storage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RM-25 Itemized charges, receipts, invoices, refunds, credit notes, reconciliation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RM-26 Saudi e-invoicing approach validated by ATCO Finance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RM-27 Agent attribution, assigned transactions, remuneration rules and approvals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RM-28 Agent settlement statements, agreement validity and financial holds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RM-29 Operations dashboard, manifests and itinerary controls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RM-30 QR/manual boarding, boarded/no-show and ticket reuse prevention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RM-31 Sailing suspension/amendment reasons and Master's decision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RM-32 Email/SMS/approved WhatsApp Business notifications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RM-33 Policy display, version acceptance and configurable policies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RM-34 Role-based administration, schedules/tariffs/permissions/limits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RM-35 Reports, daily/monthly dashboards, Excel/PDF export and audit log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RM-36 Architecture, hosting, data location and separate environments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RM-37 Encryption, MFA, backups, recovery, monitoring and security testing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RM-38 Data protection, retention, deletion, export and Saudi requirement validation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RM-39 Additional vessels/routes/ports/categories and future integrations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RM-40 Documentation, manuals, training, schedule and launch support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RM-41 Acceptance test coverage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RM-42 Data/source ownership, repository, deployment docs, licences and accounts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RM-43 Warranty, maintenance, support SLA, escalation and team details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RM-44 Contract, insurance, payment milestones, changes, delay remedies, termination and handover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RM-45 Technical/commercial proposals, itemized costs, three-year TCO and assumptions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RM-46 Recommendations with business benefit and included/separately priced 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 not mark any row as Included until scope, feasibility, dependencies and pricing are reviewed. Do not mark a requirement as compliant merely because it is mentioned in a proposal; identify how it will be demonstrated and tested.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