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e7fkz0jeec7y" w:id="0"/>
      <w:bookmarkEnd w:id="0"/>
      <w:r w:rsidDel="00000000" w:rsidR="00000000" w:rsidRPr="00000000">
        <w:rPr>
          <w:b w:val="1"/>
          <w:bCs w:val="1"/>
          <w:rtl w:val="0"/>
        </w:rPr>
        <w:t xml:space="preserve">Gulf Mover — UX Research and Interface Benchmark</w:t>
      </w:r>
    </w:p>
    <w:p w:rsidR="00000000" w:rsidDel="00000000" w:rsidP="00000000" w:rsidRDefault="00000000" w:rsidRPr="00000000" w14:paraId="00000002">
      <w:pPr>
        <w:rPr/>
      </w:pPr>
      <w:r w:rsidDel="00000000" w:rsidR="00000000" w:rsidRPr="00000000">
        <w:rPr>
          <w:b w:val="1"/>
          <w:bCs w:val="1"/>
          <w:rtl w:val="0"/>
        </w:rPr>
        <w:t xml:space="preserve">Research date:</w:t>
      </w:r>
      <w:r w:rsidDel="00000000" w:rsidR="00000000" w:rsidRPr="00000000">
        <w:rPr>
          <w:rtl w:val="0"/>
        </w:rPr>
        <w:t xml:space="preserve"> 16 October 2026</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Research synthesis and proposed design implications; not an audit or usability test of ATCO's live system.</w:t>
      </w:r>
    </w:p>
    <w:p w:rsidR="00000000" w:rsidDel="00000000" w:rsidP="00000000" w:rsidRDefault="00000000" w:rsidRPr="00000000" w14:paraId="00000004">
      <w:pPr>
        <w:rPr/>
      </w:pPr>
      <w:r w:rsidDel="00000000" w:rsidR="00000000" w:rsidRPr="00000000">
        <w:rPr>
          <w:b w:val="1"/>
          <w:bCs w:val="1"/>
          <w:rtl w:val="0"/>
        </w:rPr>
        <w:t xml:space="preserve">Project context:</w:t>
      </w:r>
      <w:r w:rsidDel="00000000" w:rsidR="00000000" w:rsidRPr="00000000">
        <w:rPr>
          <w:rtl w:val="0"/>
        </w:rPr>
        <w:t xml:space="preserve"> Bilingual marine-transfer booking and operations platform for the Gulf Mover service at Ras Tanura.</w:t>
      </w:r>
    </w:p>
    <w:p w:rsidR="00000000" w:rsidDel="00000000" w:rsidP="00000000" w:rsidRDefault="00000000" w:rsidRPr="00000000" w14:paraId="00000005">
      <w:pPr>
        <w:pStyle w:val="Heading2"/>
        <w:rPr>
          <w:b w:val="1"/>
          <w:bCs w:val="1"/>
        </w:rPr>
      </w:pPr>
      <w:bookmarkStart w:colFirst="0" w:colLast="0" w:name="_q3gpohzbw79z" w:id="1"/>
      <w:bookmarkEnd w:id="1"/>
      <w:r w:rsidDel="00000000" w:rsidR="00000000" w:rsidRPr="00000000">
        <w:rPr>
          <w:b w:val="1"/>
          <w:bCs w:val="1"/>
          <w:rtl w:val="0"/>
        </w:rPr>
        <w:t xml:space="preserve">Executive recommendation</w:t>
      </w:r>
    </w:p>
    <w:p w:rsidR="00000000" w:rsidDel="00000000" w:rsidP="00000000" w:rsidRDefault="00000000" w:rsidRPr="00000000" w14:paraId="00000006">
      <w:pPr>
        <w:rPr/>
      </w:pPr>
      <w:r w:rsidDel="00000000" w:rsidR="00000000" w:rsidRPr="00000000">
        <w:rPr>
          <w:rtl w:val="0"/>
        </w:rPr>
        <w:t xml:space="preserve">Use a single coherent design system across a fast, guided customer booking flow and a separate operations console optimized for scanning data, statuses and exceptions. Borrow proven interaction patterns from ferry ticketing interfaces and adjacent maritime operations dashboards, but do not copy third-party branding or assume their exact operational rules apply to ATCO.</w:t>
      </w:r>
    </w:p>
    <w:p w:rsidR="00000000" w:rsidDel="00000000" w:rsidP="00000000" w:rsidRDefault="00000000" w:rsidRPr="00000000" w14:paraId="00000007">
      <w:pPr>
        <w:rPr/>
      </w:pPr>
      <w:r w:rsidDel="00000000" w:rsidR="00000000" w:rsidRPr="00000000">
        <w:rPr>
          <w:rtl w:val="0"/>
        </w:rPr>
        <w:t xml:space="preserve">The strongest approach is </w:t>
      </w:r>
      <w:r w:rsidDel="00000000" w:rsidR="00000000" w:rsidRPr="00000000">
        <w:rPr>
          <w:b w:val="1"/>
          <w:bCs w:val="1"/>
          <w:rtl w:val="0"/>
        </w:rPr>
        <w:t xml:space="preserve">Concept A — Clear Marine</w:t>
      </w:r>
      <w:r w:rsidDel="00000000" w:rsidR="00000000" w:rsidRPr="00000000">
        <w:rPr>
          <w:rtl w:val="0"/>
        </w:rPr>
        <w:t xml:space="preserve">: deep navy structure, teal secondary emphasis, a high-contrast amber booking action with dark text, generous white/ice surfaces, crisp typography and explicit booking/operational statuses. Pair this with tables and workload queues for ATCO users, not a consumer-style dashboard full of decorative charts.</w:t>
      </w:r>
    </w:p>
    <w:p w:rsidR="00000000" w:rsidDel="00000000" w:rsidP="00000000" w:rsidRDefault="00000000" w:rsidRPr="00000000" w14:paraId="00000008">
      <w:pPr>
        <w:pStyle w:val="Heading2"/>
        <w:rPr>
          <w:b w:val="1"/>
          <w:bCs w:val="1"/>
        </w:rPr>
      </w:pPr>
      <w:bookmarkStart w:colFirst="0" w:colLast="0" w:name="_nmjkraqoba01" w:id="2"/>
      <w:bookmarkEnd w:id="2"/>
      <w:r w:rsidDel="00000000" w:rsidR="00000000" w:rsidRPr="00000000">
        <w:rPr>
          <w:b w:val="1"/>
          <w:bCs w:val="1"/>
          <w:rtl w:val="0"/>
        </w:rPr>
        <w:t xml:space="preserve">1. Scope and research method</w:t>
      </w:r>
    </w:p>
    <w:p w:rsidR="00000000" w:rsidDel="00000000" w:rsidP="00000000" w:rsidRDefault="00000000" w:rsidRPr="00000000" w14:paraId="00000009">
      <w:pPr>
        <w:rPr/>
      </w:pPr>
      <w:r w:rsidDel="00000000" w:rsidR="00000000" w:rsidRPr="00000000">
        <w:rPr>
          <w:rtl w:val="0"/>
        </w:rPr>
        <w:t xml:space="preserve">This is desk research from publicly accessible product pages, screenshots and published design/accessibility guidance. The supplied demo URL </w:t>
      </w:r>
      <w:r w:rsidDel="00000000" w:rsidR="00000000" w:rsidRPr="00000000">
        <w:rPr>
          <w:rFonts w:ascii="Consolas" w:cs="Consolas" w:eastAsia="Consolas" w:hAnsi="Consolas"/>
          <w:sz w:val="20"/>
          <w:szCs w:val="20"/>
          <w:shd w:fill="f2f2f2" w:val="clear"/>
          <w:rtl w:val="0"/>
        </w:rPr>
        <w:t xml:space="preserve">https://gulfmover-syecodea.manus.space</w:t>
      </w:r>
      <w:r w:rsidDel="00000000" w:rsidR="00000000" w:rsidRPr="00000000">
        <w:rPr>
          <w:rtl w:val="0"/>
        </w:rPr>
        <w:t xml:space="preserve"> could not be fetched by the automated web retrieval tool during this session. That error does not prove the site is unavailable in a normal browser. No claim is made that the demo itself was inspected or that its current screens were tested.</w:t>
      </w:r>
    </w:p>
    <w:p w:rsidR="00000000" w:rsidDel="00000000" w:rsidP="00000000" w:rsidRDefault="00000000" w:rsidRPr="00000000" w14:paraId="0000000A">
      <w:pPr>
        <w:rPr/>
      </w:pPr>
      <w:r w:rsidDel="00000000" w:rsidR="00000000" w:rsidRPr="00000000">
        <w:rPr>
          <w:rtl w:val="0"/>
        </w:rPr>
        <w:t xml:space="preserve">Research was grouped into four questions:</w:t>
      </w:r>
    </w:p>
    <w:p w:rsidR="00000000" w:rsidDel="00000000" w:rsidP="00000000" w:rsidRDefault="00000000" w:rsidRPr="00000000" w14:paraId="0000000B">
      <w:pPr>
        <w:rPr/>
      </w:pPr>
      <w:r w:rsidDel="00000000" w:rsidR="00000000" w:rsidRPr="00000000">
        <w:rPr>
          <w:rtl w:val="0"/>
        </w:rPr>
        <w:t xml:space="preserve">1. How do ferry-ticket products help users pick a route, date, sailing, fare and return journey?</w:t>
      </w:r>
    </w:p>
    <w:p w:rsidR="00000000" w:rsidDel="00000000" w:rsidP="00000000" w:rsidRDefault="00000000" w:rsidRPr="00000000" w14:paraId="0000000C">
      <w:pPr>
        <w:rPr/>
      </w:pPr>
      <w:r w:rsidDel="00000000" w:rsidR="00000000" w:rsidRPr="00000000">
        <w:rPr>
          <w:rtl w:val="0"/>
        </w:rPr>
        <w:t xml:space="preserve">2. How do maritime operational products expose schedules, exceptions, timeline and vessel/service status?</w:t>
      </w:r>
    </w:p>
    <w:p w:rsidR="00000000" w:rsidDel="00000000" w:rsidP="00000000" w:rsidRDefault="00000000" w:rsidRPr="00000000" w14:paraId="0000000D">
      <w:pPr>
        <w:rPr/>
      </w:pPr>
      <w:r w:rsidDel="00000000" w:rsidR="00000000" w:rsidRPr="00000000">
        <w:rPr>
          <w:rtl w:val="0"/>
        </w:rPr>
        <w:t xml:space="preserve">3. What can be adopted from Saudi digital-service design guidance for inclusive, consistent UI?</w:t>
      </w:r>
    </w:p>
    <w:p w:rsidR="00000000" w:rsidDel="00000000" w:rsidP="00000000" w:rsidRDefault="00000000" w:rsidRPr="00000000" w14:paraId="0000000E">
      <w:pPr>
        <w:rPr/>
      </w:pPr>
      <w:r w:rsidDel="00000000" w:rsidR="00000000" w:rsidRPr="00000000">
        <w:rPr>
          <w:rtl w:val="0"/>
        </w:rPr>
        <w:t xml:space="preserve">4. Which accessibility and mobile checkout patterns should be treated as acceptance criteria?</w:t>
      </w:r>
    </w:p>
    <w:p w:rsidR="00000000" w:rsidDel="00000000" w:rsidP="00000000" w:rsidRDefault="00000000" w:rsidRPr="00000000" w14:paraId="0000000F">
      <w:pPr>
        <w:pStyle w:val="Heading2"/>
        <w:rPr>
          <w:b w:val="1"/>
          <w:bCs w:val="1"/>
        </w:rPr>
      </w:pPr>
      <w:bookmarkStart w:colFirst="0" w:colLast="0" w:name="_dfa81g2m5xn3" w:id="3"/>
      <w:bookmarkEnd w:id="3"/>
      <w:r w:rsidDel="00000000" w:rsidR="00000000" w:rsidRPr="00000000">
        <w:rPr>
          <w:b w:val="1"/>
          <w:bCs w:val="1"/>
          <w:rtl w:val="0"/>
        </w:rPr>
        <w:t xml:space="preserve">2. Interface reference A — Jadrolinija mobile ferry app</w:t>
      </w:r>
    </w:p>
    <w:p w:rsidR="00000000" w:rsidDel="00000000" w:rsidP="00000000" w:rsidRDefault="00000000" w:rsidRPr="00000000" w14:paraId="00000010">
      <w:pPr>
        <w:rPr/>
      </w:pPr>
      <w:r w:rsidDel="00000000" w:rsidR="00000000" w:rsidRPr="00000000">
        <w:rPr>
          <w:b w:val="1"/>
          <w:bCs w:val="1"/>
          <w:rtl w:val="0"/>
        </w:rPr>
        <w:t xml:space="preserve">Source:</w:t>
      </w:r>
      <w:r w:rsidDel="00000000" w:rsidR="00000000" w:rsidRPr="00000000">
        <w:rPr>
          <w:rtl w:val="0"/>
        </w:rPr>
        <w:t xml:space="preserve"> Bug.hr article showing the redesigned mJadrolinija application and screenshots: https://www.bug.hr/appdana/mjadrolinija--nova-aplikacija-zamijenit-ce-postojecu-za-digitalno-iskustvo-56195</w:t>
      </w:r>
    </w:p>
    <w:p w:rsidR="00000000" w:rsidDel="00000000" w:rsidP="00000000" w:rsidRDefault="00000000" w:rsidRPr="00000000" w14:paraId="00000011">
      <w:pPr>
        <w:rPr/>
      </w:pPr>
      <w:r w:rsidDel="00000000" w:rsidR="00000000" w:rsidRPr="00000000">
        <w:rPr>
          <w:b w:val="1"/>
          <w:bCs w:val="1"/>
          <w:rtl w:val="0"/>
        </w:rPr>
        <w:t xml:space="preserve">Visible patterns in the public screenshots:</w:t>
      </w:r>
      <w:r w:rsidDel="00000000" w:rsidR="00000000" w:rsidRPr="00000000">
        <w:rPr>
          <w:rtl w:val="0"/>
        </w:rPr>
        <w:t xml:space="preserve"> a schedule search form with departure/arrival port selectors, travel date, an option for a return ticket, service announcements and a journey details screen with route and time information.</w:t>
      </w:r>
    </w:p>
    <w:p w:rsidR="00000000" w:rsidDel="00000000" w:rsidP="00000000" w:rsidRDefault="00000000" w:rsidRPr="00000000" w14:paraId="00000012">
      <w:pPr>
        <w:rPr>
          <w:b w:val="1"/>
          <w:bCs w:val="1"/>
        </w:rPr>
      </w:pPr>
      <w:r w:rsidDel="00000000" w:rsidR="00000000" w:rsidRPr="00000000">
        <w:rPr>
          <w:b w:val="1"/>
          <w:bCs w:val="1"/>
          <w:rtl w:val="0"/>
        </w:rPr>
        <w:t xml:space="preserve">What Gulf Mover can adopt:</w:t>
      </w:r>
    </w:p>
    <w:p w:rsidR="00000000" w:rsidDel="00000000" w:rsidP="00000000" w:rsidRDefault="00000000" w:rsidRPr="00000000" w14:paraId="00000013">
      <w:pPr>
        <w:rPr/>
      </w:pPr>
      <w:r w:rsidDel="00000000" w:rsidR="00000000" w:rsidRPr="00000000">
        <w:rPr>
          <w:rtl w:val="0"/>
        </w:rPr>
        <w:t xml:space="preserve">- Make route/direction/date the first decision; do not make the user discover the form through nested menus.</w:t>
      </w:r>
    </w:p>
    <w:p w:rsidR="00000000" w:rsidDel="00000000" w:rsidP="00000000" w:rsidRDefault="00000000" w:rsidRPr="00000000" w14:paraId="00000014">
      <w:pPr>
        <w:rPr/>
      </w:pPr>
      <w:r w:rsidDel="00000000" w:rsidR="00000000" w:rsidRPr="00000000">
        <w:rPr>
          <w:rtl w:val="0"/>
        </w:rPr>
        <w:t xml:space="preserve">- Keep an explicit return-trip toggle, then show that return availability and ticketing are still separate.</w:t>
      </w:r>
    </w:p>
    <w:p w:rsidR="00000000" w:rsidDel="00000000" w:rsidP="00000000" w:rsidRDefault="00000000" w:rsidRPr="00000000" w14:paraId="00000015">
      <w:pPr>
        <w:rPr/>
      </w:pPr>
      <w:r w:rsidDel="00000000" w:rsidR="00000000" w:rsidRPr="00000000">
        <w:rPr>
          <w:rtl w:val="0"/>
        </w:rPr>
        <w:t xml:space="preserve">- Place service notices where they are relevant, but don't let notices obscure the booking action.</w:t>
      </w:r>
    </w:p>
    <w:p w:rsidR="00000000" w:rsidDel="00000000" w:rsidP="00000000" w:rsidRDefault="00000000" w:rsidRPr="00000000" w14:paraId="00000016">
      <w:pPr>
        <w:rPr/>
      </w:pPr>
      <w:r w:rsidDel="00000000" w:rsidR="00000000" w:rsidRPr="00000000">
        <w:rPr>
          <w:rtl w:val="0"/>
        </w:rPr>
        <w:t xml:space="preserve">- Summarize route, departure and status after selection so the customer can check their choice.</w:t>
      </w:r>
    </w:p>
    <w:p w:rsidR="00000000" w:rsidDel="00000000" w:rsidP="00000000" w:rsidRDefault="00000000" w:rsidRPr="00000000" w14:paraId="00000017">
      <w:pPr>
        <w:rPr/>
      </w:pPr>
      <w:r w:rsidDel="00000000" w:rsidR="00000000" w:rsidRPr="00000000">
        <w:rPr>
          <w:b w:val="1"/>
          <w:bCs w:val="1"/>
          <w:rtl w:val="0"/>
        </w:rPr>
        <w:t xml:space="preserve">What not to copy blindly:</w:t>
      </w:r>
      <w:r w:rsidDel="00000000" w:rsidR="00000000" w:rsidRPr="00000000">
        <w:rPr>
          <w:rtl w:val="0"/>
        </w:rPr>
        <w:t xml:space="preserve"> leisure ferry ports and consumer sailing rules are not necessarily equivalent to controlled offshore vessel transfers. Gulf Mover must use ATCO's approved destinations and permit/operational rules.</w:t>
      </w:r>
    </w:p>
    <w:p w:rsidR="00000000" w:rsidDel="00000000" w:rsidP="00000000" w:rsidRDefault="00000000" w:rsidRPr="00000000" w14:paraId="00000018">
      <w:pPr>
        <w:pStyle w:val="Heading2"/>
        <w:rPr>
          <w:b w:val="1"/>
          <w:bCs w:val="1"/>
        </w:rPr>
      </w:pPr>
      <w:bookmarkStart w:colFirst="0" w:colLast="0" w:name="_iaq5xg9kussj" w:id="4"/>
      <w:bookmarkEnd w:id="4"/>
      <w:r w:rsidDel="00000000" w:rsidR="00000000" w:rsidRPr="00000000">
        <w:rPr>
          <w:b w:val="1"/>
          <w:bCs w:val="1"/>
          <w:rtl w:val="0"/>
        </w:rPr>
        <w:t xml:space="preserve">3. Interface reference B — Molslinjen booking flow</w:t>
      </w:r>
    </w:p>
    <w:p w:rsidR="00000000" w:rsidDel="00000000" w:rsidP="00000000" w:rsidRDefault="00000000" w:rsidRPr="00000000" w14:paraId="00000019">
      <w:pPr>
        <w:rPr/>
      </w:pPr>
      <w:r w:rsidDel="00000000" w:rsidR="00000000" w:rsidRPr="00000000">
        <w:rPr>
          <w:b w:val="1"/>
          <w:bCs w:val="1"/>
          <w:rtl w:val="0"/>
        </w:rPr>
        <w:t xml:space="preserve">Source:</w:t>
      </w:r>
      <w:r w:rsidDel="00000000" w:rsidR="00000000" w:rsidRPr="00000000">
        <w:rPr>
          <w:rtl w:val="0"/>
        </w:rPr>
        <w:t xml:space="preserve"> Knowit case page showing the ferry-booking UI: https://www.knowit.dk/cases/molslinjen/</w:t>
      </w:r>
    </w:p>
    <w:p w:rsidR="00000000" w:rsidDel="00000000" w:rsidP="00000000" w:rsidRDefault="00000000" w:rsidRPr="00000000" w14:paraId="0000001A">
      <w:pPr>
        <w:rPr/>
      </w:pPr>
      <w:r w:rsidDel="00000000" w:rsidR="00000000" w:rsidRPr="00000000">
        <w:rPr>
          <w:b w:val="1"/>
          <w:bCs w:val="1"/>
          <w:rtl w:val="0"/>
        </w:rPr>
        <w:t xml:space="preserve">Visible patterns:</w:t>
      </w:r>
      <w:r w:rsidDel="00000000" w:rsidR="00000000" w:rsidRPr="00000000">
        <w:rPr>
          <w:rtl w:val="0"/>
        </w:rPr>
        <w:t xml:space="preserve"> a step-based flow, selected travel date, a list of departures and distinct fare cards with differences and inclusions.</w:t>
      </w:r>
    </w:p>
    <w:p w:rsidR="00000000" w:rsidDel="00000000" w:rsidP="00000000" w:rsidRDefault="00000000" w:rsidRPr="00000000" w14:paraId="0000001B">
      <w:pPr>
        <w:rPr>
          <w:b w:val="1"/>
          <w:bCs w:val="1"/>
        </w:rPr>
      </w:pPr>
      <w:r w:rsidDel="00000000" w:rsidR="00000000" w:rsidRPr="00000000">
        <w:rPr>
          <w:b w:val="1"/>
          <w:bCs w:val="1"/>
          <w:rtl w:val="0"/>
        </w:rPr>
        <w:t xml:space="preserve">What Gulf Mover can adopt:</w:t>
      </w:r>
    </w:p>
    <w:p w:rsidR="00000000" w:rsidDel="00000000" w:rsidP="00000000" w:rsidRDefault="00000000" w:rsidRPr="00000000" w14:paraId="0000001C">
      <w:pPr>
        <w:rPr/>
      </w:pPr>
      <w:r w:rsidDel="00000000" w:rsidR="00000000" w:rsidRPr="00000000">
        <w:rPr>
          <w:rtl w:val="0"/>
        </w:rPr>
        <w:t xml:space="preserve">- A progress indicator clarifies where the user is in a multi-step booking.</w:t>
      </w:r>
    </w:p>
    <w:p w:rsidR="00000000" w:rsidDel="00000000" w:rsidP="00000000" w:rsidRDefault="00000000" w:rsidRPr="00000000" w14:paraId="0000001D">
      <w:pPr>
        <w:rPr/>
      </w:pPr>
      <w:r w:rsidDel="00000000" w:rsidR="00000000" w:rsidRPr="00000000">
        <w:rPr>
          <w:rtl w:val="0"/>
        </w:rPr>
        <w:t xml:space="preserve">- Show each sailing's local departure time, destination/route, and relevant price on the same card.</w:t>
      </w:r>
    </w:p>
    <w:p w:rsidR="00000000" w:rsidDel="00000000" w:rsidP="00000000" w:rsidRDefault="00000000" w:rsidRPr="00000000" w14:paraId="0000001E">
      <w:pPr>
        <w:rPr/>
      </w:pPr>
      <w:r w:rsidDel="00000000" w:rsidR="00000000" w:rsidRPr="00000000">
        <w:rPr>
          <w:rtl w:val="0"/>
        </w:rPr>
        <w:t xml:space="preserve">- Fare or service options should have short, comparable explanations rather than relying on users to inspect policy text elsewhere.</w:t>
      </w:r>
    </w:p>
    <w:p w:rsidR="00000000" w:rsidDel="00000000" w:rsidP="00000000" w:rsidRDefault="00000000" w:rsidRPr="00000000" w14:paraId="0000001F">
      <w:pPr>
        <w:rPr/>
      </w:pPr>
      <w:r w:rsidDel="00000000" w:rsidR="00000000" w:rsidRPr="00000000">
        <w:rPr>
          <w:rtl w:val="0"/>
        </w:rPr>
        <w:t xml:space="preserve">- Use a clear, persistent summary once the user has selected the sailing and passenger quantity.</w:t>
      </w:r>
    </w:p>
    <w:p w:rsidR="00000000" w:rsidDel="00000000" w:rsidP="00000000" w:rsidRDefault="00000000" w:rsidRPr="00000000" w14:paraId="00000020">
      <w:pPr>
        <w:rPr/>
      </w:pPr>
      <w:r w:rsidDel="00000000" w:rsidR="00000000" w:rsidRPr="00000000">
        <w:rPr>
          <w:b w:val="1"/>
          <w:bCs w:val="1"/>
          <w:rtl w:val="0"/>
        </w:rPr>
        <w:t xml:space="preserve">Adaptation:</w:t>
      </w:r>
      <w:r w:rsidDel="00000000" w:rsidR="00000000" w:rsidRPr="00000000">
        <w:rPr>
          <w:rtl w:val="0"/>
        </w:rPr>
        <w:t xml:space="preserve"> fare tiers in a public ferry product should not be invented for Gulf Mover. Only show tariff/service options that ATCO approves.</w:t>
      </w:r>
    </w:p>
    <w:p w:rsidR="00000000" w:rsidDel="00000000" w:rsidP="00000000" w:rsidRDefault="00000000" w:rsidRPr="00000000" w14:paraId="00000021">
      <w:pPr>
        <w:pStyle w:val="Heading2"/>
        <w:rPr>
          <w:b w:val="1"/>
          <w:bCs w:val="1"/>
        </w:rPr>
      </w:pPr>
      <w:bookmarkStart w:colFirst="0" w:colLast="0" w:name="_9ugrxttr8s2s" w:id="5"/>
      <w:bookmarkEnd w:id="5"/>
      <w:r w:rsidDel="00000000" w:rsidR="00000000" w:rsidRPr="00000000">
        <w:rPr>
          <w:b w:val="1"/>
          <w:bCs w:val="1"/>
          <w:rtl w:val="0"/>
        </w:rPr>
        <w:t xml:space="preserve">4. Interface reference C — Dover–Calais sailing and fare selection</w:t>
      </w:r>
    </w:p>
    <w:p w:rsidR="00000000" w:rsidDel="00000000" w:rsidP="00000000" w:rsidRDefault="00000000" w:rsidRPr="00000000" w14:paraId="00000022">
      <w:pPr>
        <w:rPr/>
      </w:pPr>
      <w:r w:rsidDel="00000000" w:rsidR="00000000" w:rsidRPr="00000000">
        <w:rPr>
          <w:b w:val="1"/>
          <w:bCs w:val="1"/>
          <w:rtl w:val="0"/>
        </w:rPr>
        <w:t xml:space="preserve">Source:</w:t>
      </w:r>
      <w:r w:rsidDel="00000000" w:rsidR="00000000" w:rsidRPr="00000000">
        <w:rPr>
          <w:rtl w:val="0"/>
        </w:rPr>
        <w:t xml:space="preserve"> public ticketing screenshot published by Calais Wine Superstore: https://www.calaiswine.co.uk/new-travel-deal</w:t>
      </w:r>
    </w:p>
    <w:p w:rsidR="00000000" w:rsidDel="00000000" w:rsidP="00000000" w:rsidRDefault="00000000" w:rsidRPr="00000000" w14:paraId="00000023">
      <w:pPr>
        <w:rPr/>
      </w:pPr>
      <w:r w:rsidDel="00000000" w:rsidR="00000000" w:rsidRPr="00000000">
        <w:rPr>
          <w:b w:val="1"/>
          <w:bCs w:val="1"/>
          <w:rtl w:val="0"/>
        </w:rPr>
        <w:t xml:space="preserve">Visible patterns:</w:t>
      </w:r>
      <w:r w:rsidDel="00000000" w:rsidR="00000000" w:rsidRPr="00000000">
        <w:rPr>
          <w:rtl w:val="0"/>
        </w:rPr>
        <w:t xml:space="preserve"> sailing rows grouped by time, departure/arrival details, alternative fares and a side summary showing selected outbound/return, base price and charges.</w:t>
      </w:r>
    </w:p>
    <w:p w:rsidR="00000000" w:rsidDel="00000000" w:rsidP="00000000" w:rsidRDefault="00000000" w:rsidRPr="00000000" w14:paraId="00000024">
      <w:pPr>
        <w:rPr>
          <w:b w:val="1"/>
          <w:bCs w:val="1"/>
        </w:rPr>
      </w:pPr>
      <w:r w:rsidDel="00000000" w:rsidR="00000000" w:rsidRPr="00000000">
        <w:rPr>
          <w:b w:val="1"/>
          <w:bCs w:val="1"/>
          <w:rtl w:val="0"/>
        </w:rPr>
        <w:t xml:space="preserve">What Gulf Mover can adopt:</w:t>
      </w:r>
    </w:p>
    <w:p w:rsidR="00000000" w:rsidDel="00000000" w:rsidP="00000000" w:rsidRDefault="00000000" w:rsidRPr="00000000" w14:paraId="00000025">
      <w:pPr>
        <w:rPr/>
      </w:pPr>
      <w:r w:rsidDel="00000000" w:rsidR="00000000" w:rsidRPr="00000000">
        <w:rPr>
          <w:rtl w:val="0"/>
        </w:rPr>
        <w:t xml:space="preserve">- A timetable/list view is useful when multiple departures exist and users need to compare times.</w:t>
      </w:r>
    </w:p>
    <w:p w:rsidR="00000000" w:rsidDel="00000000" w:rsidP="00000000" w:rsidRDefault="00000000" w:rsidRPr="00000000" w14:paraId="00000026">
      <w:pPr>
        <w:rPr/>
      </w:pPr>
      <w:r w:rsidDel="00000000" w:rsidR="00000000" w:rsidRPr="00000000">
        <w:rPr>
          <w:rtl w:val="0"/>
        </w:rPr>
        <w:t xml:space="preserve">- Keep outbound and return choices visibly separate, even if bought in one checkout.</w:t>
      </w:r>
    </w:p>
    <w:p w:rsidR="00000000" w:rsidDel="00000000" w:rsidP="00000000" w:rsidRDefault="00000000" w:rsidRPr="00000000" w14:paraId="00000027">
      <w:pPr>
        <w:rPr/>
      </w:pPr>
      <w:r w:rsidDel="00000000" w:rsidR="00000000" w:rsidRPr="00000000">
        <w:rPr>
          <w:rtl w:val="0"/>
        </w:rPr>
        <w:t xml:space="preserve">- Show fare components and total before the customer commits or enters payment details.</w:t>
      </w:r>
    </w:p>
    <w:p w:rsidR="00000000" w:rsidDel="00000000" w:rsidP="00000000" w:rsidRDefault="00000000" w:rsidRPr="00000000" w14:paraId="00000028">
      <w:pPr>
        <w:rPr/>
      </w:pPr>
      <w:r w:rsidDel="00000000" w:rsidR="00000000" w:rsidRPr="00000000">
        <w:rPr>
          <w:rtl w:val="0"/>
        </w:rPr>
        <w:t xml:space="preserve">- A selected-journey summary on desktop reduces the need to remember prior selections.</w:t>
      </w:r>
    </w:p>
    <w:p w:rsidR="00000000" w:rsidDel="00000000" w:rsidP="00000000" w:rsidRDefault="00000000" w:rsidRPr="00000000" w14:paraId="00000029">
      <w:pPr>
        <w:rPr/>
      </w:pPr>
      <w:r w:rsidDel="00000000" w:rsidR="00000000" w:rsidRPr="00000000">
        <w:rPr>
          <w:b w:val="1"/>
          <w:bCs w:val="1"/>
          <w:rtl w:val="0"/>
        </w:rPr>
        <w:t xml:space="preserve">Adaptation:</w:t>
      </w:r>
      <w:r w:rsidDel="00000000" w:rsidR="00000000" w:rsidRPr="00000000">
        <w:rPr>
          <w:rtl w:val="0"/>
        </w:rPr>
        <w:t xml:space="preserve"> on small screens, collapse the summary into a sticky total/expandable trip summary without hiding essential price information. Do not force horizontal scrolling through a desktop fare matrix.</w:t>
      </w:r>
    </w:p>
    <w:p w:rsidR="00000000" w:rsidDel="00000000" w:rsidP="00000000" w:rsidRDefault="00000000" w:rsidRPr="00000000" w14:paraId="0000002A">
      <w:pPr>
        <w:pStyle w:val="Heading2"/>
        <w:rPr>
          <w:b w:val="1"/>
          <w:bCs w:val="1"/>
        </w:rPr>
      </w:pPr>
      <w:bookmarkStart w:colFirst="0" w:colLast="0" w:name="_c7c186o8ib05" w:id="6"/>
      <w:bookmarkEnd w:id="6"/>
      <w:r w:rsidDel="00000000" w:rsidR="00000000" w:rsidRPr="00000000">
        <w:rPr>
          <w:b w:val="1"/>
          <w:bCs w:val="1"/>
          <w:rtl w:val="0"/>
        </w:rPr>
        <w:t xml:space="preserve">5. Interface reference D — Heyport port operations dashboard</w:t>
      </w:r>
    </w:p>
    <w:p w:rsidR="00000000" w:rsidDel="00000000" w:rsidP="00000000" w:rsidRDefault="00000000" w:rsidRPr="00000000" w14:paraId="0000002B">
      <w:pPr>
        <w:rPr/>
      </w:pPr>
      <w:r w:rsidDel="00000000" w:rsidR="00000000" w:rsidRPr="00000000">
        <w:rPr>
          <w:b w:val="1"/>
          <w:bCs w:val="1"/>
          <w:rtl w:val="0"/>
        </w:rPr>
        <w:t xml:space="preserve">Source:</w:t>
      </w:r>
      <w:r w:rsidDel="00000000" w:rsidR="00000000" w:rsidRPr="00000000">
        <w:rPr>
          <w:rtl w:val="0"/>
        </w:rPr>
        <w:t xml:space="preserve"> https://heyport.io/ ; publicly visible dashboard imagery includes tasks, planned maintenance, cargo moves and a vessel timeline.</w:t>
      </w:r>
    </w:p>
    <w:p w:rsidR="00000000" w:rsidDel="00000000" w:rsidP="00000000" w:rsidRDefault="00000000" w:rsidRPr="00000000" w14:paraId="0000002C">
      <w:pPr>
        <w:rPr/>
      </w:pPr>
      <w:r w:rsidDel="00000000" w:rsidR="00000000" w:rsidRPr="00000000">
        <w:rPr>
          <w:b w:val="1"/>
          <w:bCs w:val="1"/>
          <w:rtl w:val="0"/>
        </w:rPr>
        <w:t xml:space="preserve">Visible patterns:</w:t>
      </w:r>
      <w:r w:rsidDel="00000000" w:rsidR="00000000" w:rsidRPr="00000000">
        <w:rPr>
          <w:rtl w:val="0"/>
        </w:rPr>
        <w:t xml:space="preserve"> operational overview cards, task and maintenance indicators, timeline markers and tabular/time-grid information.</w:t>
      </w:r>
    </w:p>
    <w:p w:rsidR="00000000" w:rsidDel="00000000" w:rsidP="00000000" w:rsidRDefault="00000000" w:rsidRPr="00000000" w14:paraId="0000002D">
      <w:pPr>
        <w:rPr>
          <w:b w:val="1"/>
          <w:bCs w:val="1"/>
        </w:rPr>
      </w:pPr>
      <w:r w:rsidDel="00000000" w:rsidR="00000000" w:rsidRPr="00000000">
        <w:rPr>
          <w:b w:val="1"/>
          <w:bCs w:val="1"/>
          <w:rtl w:val="0"/>
        </w:rPr>
        <w:t xml:space="preserve">What Gulf Mover can adopt:</w:t>
      </w:r>
    </w:p>
    <w:p w:rsidR="00000000" w:rsidDel="00000000" w:rsidP="00000000" w:rsidRDefault="00000000" w:rsidRPr="00000000" w14:paraId="0000002E">
      <w:pPr>
        <w:rPr/>
      </w:pPr>
      <w:r w:rsidDel="00000000" w:rsidR="00000000" w:rsidRPr="00000000">
        <w:rPr>
          <w:rtl w:val="0"/>
        </w:rPr>
        <w:t xml:space="preserve">- Operations needs a daily work surface that prioritizes exceptions and next actions over brand storytelling.</w:t>
      </w:r>
    </w:p>
    <w:p w:rsidR="00000000" w:rsidDel="00000000" w:rsidP="00000000" w:rsidRDefault="00000000" w:rsidRPr="00000000" w14:paraId="0000002F">
      <w:pPr>
        <w:rPr/>
      </w:pPr>
      <w:r w:rsidDel="00000000" w:rsidR="00000000" w:rsidRPr="00000000">
        <w:rPr>
          <w:rtl w:val="0"/>
        </w:rPr>
        <w:t xml:space="preserve">- Put upcoming sailings, pending approvals, capacity exceptions, manifest readiness and unresolved disruptions into the first view.</w:t>
      </w:r>
    </w:p>
    <w:p w:rsidR="00000000" w:rsidDel="00000000" w:rsidP="00000000" w:rsidRDefault="00000000" w:rsidRPr="00000000" w14:paraId="00000030">
      <w:pPr>
        <w:rPr/>
      </w:pPr>
      <w:r w:rsidDel="00000000" w:rsidR="00000000" w:rsidRPr="00000000">
        <w:rPr>
          <w:rtl w:val="0"/>
        </w:rPr>
        <w:t xml:space="preserve">- Distinguish schedule timing from actual completion/operational state.</w:t>
      </w:r>
    </w:p>
    <w:p w:rsidR="00000000" w:rsidDel="00000000" w:rsidP="00000000" w:rsidRDefault="00000000" w:rsidRPr="00000000" w14:paraId="00000031">
      <w:pPr>
        <w:rPr/>
      </w:pPr>
      <w:r w:rsidDel="00000000" w:rsidR="00000000" w:rsidRPr="00000000">
        <w:rPr>
          <w:rtl w:val="0"/>
        </w:rPr>
        <w:t xml:space="preserve">- Use timeline and table views when precise time and sequence matter.</w:t>
      </w:r>
    </w:p>
    <w:p w:rsidR="00000000" w:rsidDel="00000000" w:rsidP="00000000" w:rsidRDefault="00000000" w:rsidRPr="00000000" w14:paraId="00000032">
      <w:pPr>
        <w:rPr/>
      </w:pPr>
      <w:r w:rsidDel="00000000" w:rsidR="00000000" w:rsidRPr="00000000">
        <w:rPr>
          <w:b w:val="1"/>
          <w:bCs w:val="1"/>
          <w:rtl w:val="0"/>
        </w:rPr>
        <w:t xml:space="preserve">Adaptation:</w:t>
      </w:r>
      <w:r w:rsidDel="00000000" w:rsidR="00000000" w:rsidRPr="00000000">
        <w:rPr>
          <w:rtl w:val="0"/>
        </w:rPr>
        <w:t xml:space="preserve"> the Gulf Mover console needs only metrics tied to real business decisions. Do not copy cargo or berth metrics that are not relevant to passenger/material transfers.</w:t>
      </w:r>
    </w:p>
    <w:p w:rsidR="00000000" w:rsidDel="00000000" w:rsidP="00000000" w:rsidRDefault="00000000" w:rsidRPr="00000000" w14:paraId="00000033">
      <w:pPr>
        <w:pStyle w:val="Heading2"/>
        <w:rPr>
          <w:b w:val="1"/>
          <w:bCs w:val="1"/>
        </w:rPr>
      </w:pPr>
      <w:bookmarkStart w:colFirst="0" w:colLast="0" w:name="_3sc8ka7z84qb" w:id="7"/>
      <w:bookmarkEnd w:id="7"/>
      <w:r w:rsidDel="00000000" w:rsidR="00000000" w:rsidRPr="00000000">
        <w:rPr>
          <w:b w:val="1"/>
          <w:bCs w:val="1"/>
          <w:rtl w:val="0"/>
        </w:rPr>
        <w:t xml:space="preserve">6. Interface reference E — Portchain terminal lineup</w:t>
      </w:r>
    </w:p>
    <w:p w:rsidR="00000000" w:rsidDel="00000000" w:rsidP="00000000" w:rsidRDefault="00000000" w:rsidRPr="00000000" w14:paraId="00000034">
      <w:pPr>
        <w:rPr/>
      </w:pPr>
      <w:r w:rsidDel="00000000" w:rsidR="00000000" w:rsidRPr="00000000">
        <w:rPr>
          <w:b w:val="1"/>
          <w:bCs w:val="1"/>
          <w:rtl w:val="0"/>
        </w:rPr>
        <w:t xml:space="preserve">Source:</w:t>
      </w:r>
      <w:r w:rsidDel="00000000" w:rsidR="00000000" w:rsidRPr="00000000">
        <w:rPr>
          <w:rtl w:val="0"/>
        </w:rPr>
        <w:t xml:space="preserve"> https://emilforsmann.com/work/portchain</w:t>
      </w:r>
    </w:p>
    <w:p w:rsidR="00000000" w:rsidDel="00000000" w:rsidP="00000000" w:rsidRDefault="00000000" w:rsidRPr="00000000" w14:paraId="00000035">
      <w:pPr>
        <w:rPr/>
      </w:pPr>
      <w:r w:rsidDel="00000000" w:rsidR="00000000" w:rsidRPr="00000000">
        <w:rPr>
          <w:b w:val="1"/>
          <w:bCs w:val="1"/>
          <w:rtl w:val="0"/>
        </w:rPr>
        <w:t xml:space="preserve">Visible patterns:</w:t>
      </w:r>
      <w:r w:rsidDel="00000000" w:rsidR="00000000" w:rsidRPr="00000000">
        <w:rPr>
          <w:rtl w:val="0"/>
        </w:rPr>
        <w:t xml:space="preserve"> dense list of port calls, vessel identification, status, terminal/operation attributes and a time-oriented lineup.</w:t>
      </w:r>
    </w:p>
    <w:p w:rsidR="00000000" w:rsidDel="00000000" w:rsidP="00000000" w:rsidRDefault="00000000" w:rsidRPr="00000000" w14:paraId="00000036">
      <w:pPr>
        <w:rPr>
          <w:b w:val="1"/>
          <w:bCs w:val="1"/>
        </w:rPr>
      </w:pPr>
      <w:r w:rsidDel="00000000" w:rsidR="00000000" w:rsidRPr="00000000">
        <w:rPr>
          <w:b w:val="1"/>
          <w:bCs w:val="1"/>
          <w:rtl w:val="0"/>
        </w:rPr>
        <w:t xml:space="preserve">What Gulf Mover can adopt:</w:t>
      </w:r>
    </w:p>
    <w:p w:rsidR="00000000" w:rsidDel="00000000" w:rsidP="00000000" w:rsidRDefault="00000000" w:rsidRPr="00000000" w14:paraId="00000037">
      <w:pPr>
        <w:rPr/>
      </w:pPr>
      <w:r w:rsidDel="00000000" w:rsidR="00000000" w:rsidRPr="00000000">
        <w:rPr>
          <w:rtl w:val="0"/>
        </w:rPr>
        <w:t xml:space="preserve">- Trained operators benefit from a sortable table with stable columns and filters.</w:t>
      </w:r>
    </w:p>
    <w:p w:rsidR="00000000" w:rsidDel="00000000" w:rsidP="00000000" w:rsidRDefault="00000000" w:rsidRPr="00000000" w14:paraId="00000038">
      <w:pPr>
        <w:rPr/>
      </w:pPr>
      <w:r w:rsidDel="00000000" w:rsidR="00000000" w:rsidRPr="00000000">
        <w:rPr>
          <w:rtl w:val="0"/>
        </w:rPr>
        <w:t xml:space="preserve">- Status should be scannable in both words and visual treatment.</w:t>
      </w:r>
    </w:p>
    <w:p w:rsidR="00000000" w:rsidDel="00000000" w:rsidP="00000000" w:rsidRDefault="00000000" w:rsidRPr="00000000" w14:paraId="00000039">
      <w:pPr>
        <w:rPr/>
      </w:pPr>
      <w:r w:rsidDel="00000000" w:rsidR="00000000" w:rsidRPr="00000000">
        <w:rPr>
          <w:rtl w:val="0"/>
        </w:rPr>
        <w:t xml:space="preserve">- Provide a detailed record view from each table row, with audit history and current action.</w:t>
      </w:r>
    </w:p>
    <w:p w:rsidR="00000000" w:rsidDel="00000000" w:rsidP="00000000" w:rsidRDefault="00000000" w:rsidRPr="00000000" w14:paraId="0000003A">
      <w:pPr>
        <w:rPr/>
      </w:pPr>
      <w:r w:rsidDel="00000000" w:rsidR="00000000" w:rsidRPr="00000000">
        <w:rPr>
          <w:rtl w:val="0"/>
        </w:rPr>
        <w:t xml:space="preserve">- Prioritize work queues and upcoming deadlines above decorative visualizations.</w:t>
      </w:r>
    </w:p>
    <w:p w:rsidR="00000000" w:rsidDel="00000000" w:rsidP="00000000" w:rsidRDefault="00000000" w:rsidRPr="00000000" w14:paraId="0000003B">
      <w:pPr>
        <w:rPr/>
      </w:pPr>
      <w:r w:rsidDel="00000000" w:rsidR="00000000" w:rsidRPr="00000000">
        <w:rPr>
          <w:b w:val="1"/>
          <w:bCs w:val="1"/>
          <w:rtl w:val="0"/>
        </w:rPr>
        <w:t xml:space="preserve">Adaptation:</w:t>
      </w:r>
      <w:r w:rsidDel="00000000" w:rsidR="00000000" w:rsidRPr="00000000">
        <w:rPr>
          <w:rtl w:val="0"/>
        </w:rPr>
        <w:t xml:space="preserve"> hide sensitive manifest fields from general dashboard summary. Grant access to passenger-level data only where needed.</w:t>
      </w:r>
    </w:p>
    <w:p w:rsidR="00000000" w:rsidDel="00000000" w:rsidP="00000000" w:rsidRDefault="00000000" w:rsidRPr="00000000" w14:paraId="0000003C">
      <w:pPr>
        <w:pStyle w:val="Heading2"/>
        <w:rPr>
          <w:b w:val="1"/>
          <w:bCs w:val="1"/>
        </w:rPr>
      </w:pPr>
      <w:bookmarkStart w:colFirst="0" w:colLast="0" w:name="_c2jh9owjuef6" w:id="8"/>
      <w:bookmarkEnd w:id="8"/>
      <w:r w:rsidDel="00000000" w:rsidR="00000000" w:rsidRPr="00000000">
        <w:rPr>
          <w:b w:val="1"/>
          <w:bCs w:val="1"/>
          <w:rtl w:val="0"/>
        </w:rPr>
        <w:t xml:space="preserve">7. Evidence-based principles for the Gulf Mover design</w:t>
      </w:r>
    </w:p>
    <w:p w:rsidR="00000000" w:rsidDel="00000000" w:rsidP="00000000" w:rsidRDefault="00000000" w:rsidRPr="00000000" w14:paraId="0000003D">
      <w:pPr>
        <w:pStyle w:val="Heading3"/>
        <w:rPr>
          <w:b w:val="1"/>
          <w:bCs w:val="1"/>
        </w:rPr>
      </w:pPr>
      <w:bookmarkStart w:colFirst="0" w:colLast="0" w:name="_nketbupsakn" w:id="9"/>
      <w:bookmarkEnd w:id="9"/>
      <w:r w:rsidDel="00000000" w:rsidR="00000000" w:rsidRPr="00000000">
        <w:rPr>
          <w:b w:val="1"/>
          <w:bCs w:val="1"/>
          <w:rtl w:val="0"/>
        </w:rPr>
        <w:t xml:space="preserve">7.1 Price and booking confidence</w:t>
      </w:r>
    </w:p>
    <w:p w:rsidR="00000000" w:rsidDel="00000000" w:rsidP="00000000" w:rsidRDefault="00000000" w:rsidRPr="00000000" w14:paraId="0000003E">
      <w:pPr>
        <w:rPr/>
      </w:pPr>
      <w:r w:rsidDel="00000000" w:rsidR="00000000" w:rsidRPr="00000000">
        <w:rPr>
          <w:rtl w:val="0"/>
        </w:rPr>
        <w:t xml:space="preserve">Baymard's published mobile-checkout research identifies cost clarity, account features, form redundancy, field descriptions and error messages as recurring usability problem areas. Its older benchmark reported that many mobile sites failed to make full order cost clear early enough. This is not a current ferry-industry score, but it supports a timeless decision: display fare, taxes/charges, applicable return-leg cost and total before payment; explain what is included; and avoid making users type sensitive details before they understand the price.</w:t>
      </w:r>
    </w:p>
    <w:p w:rsidR="00000000" w:rsidDel="00000000" w:rsidP="00000000" w:rsidRDefault="00000000" w:rsidRPr="00000000" w14:paraId="0000003F">
      <w:pPr>
        <w:rPr/>
      </w:pPr>
      <w:r w:rsidDel="00000000" w:rsidR="00000000" w:rsidRPr="00000000">
        <w:rPr>
          <w:rtl w:val="0"/>
        </w:rPr>
        <w:t xml:space="preserve">Source: Baymard Institute, </w:t>
      </w:r>
      <w:r w:rsidDel="00000000" w:rsidR="00000000" w:rsidRPr="00000000">
        <w:rPr>
          <w:i w:val="1"/>
          <w:iCs w:val="1"/>
          <w:rtl w:val="0"/>
        </w:rPr>
        <w:t xml:space="preserve">The State of Mobile Checkout &amp; Form Usability</w:t>
      </w:r>
      <w:r w:rsidDel="00000000" w:rsidR="00000000" w:rsidRPr="00000000">
        <w:rPr>
          <w:rtl w:val="0"/>
        </w:rPr>
        <w:t xml:space="preserve">: https://baymard.com/research-articles/mobile-ecommerce-checkout-forms</w:t>
      </w:r>
    </w:p>
    <w:p w:rsidR="00000000" w:rsidDel="00000000" w:rsidP="00000000" w:rsidRDefault="00000000" w:rsidRPr="00000000" w14:paraId="00000040">
      <w:pPr>
        <w:rPr/>
      </w:pPr>
      <w:r w:rsidDel="00000000" w:rsidR="00000000" w:rsidRPr="00000000">
        <w:rPr>
          <w:rtl w:val="0"/>
        </w:rPr>
        <w:t xml:space="preserve">Baymard's travel-accommodation research also identifies the booking search feature, price presentation and process complexity as important areas across travel UX. Accommodation is adjacent evidence, not marine-transfer-specific research: https://baymard.com/research-articles/new-research-travel-accommodations</w:t>
      </w:r>
    </w:p>
    <w:p w:rsidR="00000000" w:rsidDel="00000000" w:rsidP="00000000" w:rsidRDefault="00000000" w:rsidRPr="00000000" w14:paraId="00000041">
      <w:pPr>
        <w:pStyle w:val="Heading3"/>
        <w:rPr>
          <w:b w:val="1"/>
          <w:bCs w:val="1"/>
        </w:rPr>
      </w:pPr>
      <w:bookmarkStart w:colFirst="0" w:colLast="0" w:name="_mdf3iy5o4kwp" w:id="10"/>
      <w:bookmarkEnd w:id="10"/>
      <w:r w:rsidDel="00000000" w:rsidR="00000000" w:rsidRPr="00000000">
        <w:rPr>
          <w:b w:val="1"/>
          <w:bCs w:val="1"/>
          <w:rtl w:val="0"/>
        </w:rPr>
        <w:t xml:space="preserve">7.2 Saudi digital service design</w:t>
      </w:r>
    </w:p>
    <w:p w:rsidR="00000000" w:rsidDel="00000000" w:rsidP="00000000" w:rsidRDefault="00000000" w:rsidRPr="00000000" w14:paraId="00000042">
      <w:pPr>
        <w:rPr/>
      </w:pPr>
      <w:r w:rsidDel="00000000" w:rsidR="00000000" w:rsidRPr="00000000">
        <w:rPr>
          <w:rtl w:val="0"/>
        </w:rPr>
        <w:t xml:space="preserve">Saudi Arabia's Digital Government Authority describes the National Design System (“Code”) as a reference intended to improve consistency, inclusive design and the usability of digital platforms, with reusable UI components and guidance for designers/developers. It is a strong local reference to review. ATCO should confirm whether direct compliance with that system is mandatory for this privately operated service or whether it is a useful benchmark.</w:t>
      </w:r>
    </w:p>
    <w:p w:rsidR="00000000" w:rsidDel="00000000" w:rsidP="00000000" w:rsidRDefault="00000000" w:rsidRPr="00000000" w14:paraId="00000043">
      <w:pPr>
        <w:rPr/>
      </w:pPr>
      <w:r w:rsidDel="00000000" w:rsidR="00000000" w:rsidRPr="00000000">
        <w:rPr>
          <w:rtl w:val="0"/>
        </w:rPr>
        <w:t xml:space="preserve">Source: DGA National Design System of Saudi Arabia: https://dga.gov.sa/ar/digital-knowledge/national-design-system-of-Saudi-Arabia</w:t>
      </w:r>
    </w:p>
    <w:p w:rsidR="00000000" w:rsidDel="00000000" w:rsidP="00000000" w:rsidRDefault="00000000" w:rsidRPr="00000000" w14:paraId="00000044">
      <w:pPr>
        <w:rPr/>
      </w:pPr>
      <w:r w:rsidDel="00000000" w:rsidR="00000000" w:rsidRPr="00000000">
        <w:rPr>
          <w:rtl w:val="0"/>
        </w:rPr>
        <w:t xml:space="preserve">The CST's published policy on digital information and services calls for beneficiary-centered design, inclusion, a one-time data-request principle and compliance with adopted W3C/WCAG accessibility standards. As a public-sector policy, it is not automatically a binding requirement for ATCO; it is useful local design guidance.</w:t>
      </w:r>
    </w:p>
    <w:p w:rsidR="00000000" w:rsidDel="00000000" w:rsidP="00000000" w:rsidRDefault="00000000" w:rsidRPr="00000000" w14:paraId="00000045">
      <w:pPr>
        <w:rPr/>
      </w:pPr>
      <w:r w:rsidDel="00000000" w:rsidR="00000000" w:rsidRPr="00000000">
        <w:rPr>
          <w:rtl w:val="0"/>
        </w:rPr>
        <w:t xml:space="preserve">Source: CST Policy on Access to Digital Government Information and Services: https://www.cst.gov.sa/en/policy-on-access-to-digital-government-information-and-services</w:t>
      </w:r>
    </w:p>
    <w:p w:rsidR="00000000" w:rsidDel="00000000" w:rsidP="00000000" w:rsidRDefault="00000000" w:rsidRPr="00000000" w14:paraId="00000046">
      <w:pPr>
        <w:pStyle w:val="Heading3"/>
        <w:rPr>
          <w:b w:val="1"/>
          <w:bCs w:val="1"/>
        </w:rPr>
      </w:pPr>
      <w:bookmarkStart w:colFirst="0" w:colLast="0" w:name="_92x2hh36wo5w" w:id="11"/>
      <w:bookmarkEnd w:id="11"/>
      <w:r w:rsidDel="00000000" w:rsidR="00000000" w:rsidRPr="00000000">
        <w:rPr>
          <w:b w:val="1"/>
          <w:bCs w:val="1"/>
          <w:rtl w:val="0"/>
        </w:rPr>
        <w:t xml:space="preserve">7.3 Arabic RTL is a layout system, not just translation</w:t>
      </w:r>
    </w:p>
    <w:p w:rsidR="00000000" w:rsidDel="00000000" w:rsidP="00000000" w:rsidRDefault="00000000" w:rsidRPr="00000000" w14:paraId="00000047">
      <w:pPr>
        <w:rPr/>
      </w:pPr>
      <w:r w:rsidDel="00000000" w:rsidR="00000000" w:rsidRPr="00000000">
        <w:rPr>
          <w:rtl w:val="0"/>
        </w:rPr>
        <w:t xml:space="preserve">Material Design's bidirectionality guidance explains that RTL languages generally need mirrored reading/navigation flow and mirrored directional cues; icons with no direction meaning do not all need to change. Mixed Arabic/Latin text needs deliberate handling.</w:t>
      </w:r>
    </w:p>
    <w:p w:rsidR="00000000" w:rsidDel="00000000" w:rsidP="00000000" w:rsidRDefault="00000000" w:rsidRPr="00000000" w14:paraId="00000048">
      <w:pPr>
        <w:rPr/>
      </w:pPr>
      <w:r w:rsidDel="00000000" w:rsidR="00000000" w:rsidRPr="00000000">
        <w:rPr>
          <w:rtl w:val="0"/>
        </w:rPr>
        <w:t xml:space="preserve">Design implications:</w:t>
      </w:r>
    </w:p>
    <w:p w:rsidR="00000000" w:rsidDel="00000000" w:rsidP="00000000" w:rsidRDefault="00000000" w:rsidRPr="00000000" w14:paraId="00000049">
      <w:pPr>
        <w:rPr/>
      </w:pPr>
      <w:r w:rsidDel="00000000" w:rsidR="00000000" w:rsidRPr="00000000">
        <w:rPr>
          <w:rtl w:val="0"/>
        </w:rPr>
        <w:t xml:space="preserve">- Set actual </w:t>
      </w:r>
      <w:r w:rsidDel="00000000" w:rsidR="00000000" w:rsidRPr="00000000">
        <w:rPr>
          <w:rFonts w:ascii="Consolas" w:cs="Consolas" w:eastAsia="Consolas" w:hAnsi="Consolas"/>
          <w:sz w:val="20"/>
          <w:szCs w:val="20"/>
          <w:shd w:fill="f2f2f2" w:val="clear"/>
          <w:rtl w:val="0"/>
        </w:rPr>
        <w:t xml:space="preserve">dir="rtl"</w:t>
      </w:r>
      <w:r w:rsidDel="00000000" w:rsidR="00000000" w:rsidRPr="00000000">
        <w:rPr>
          <w:rtl w:val="0"/>
        </w:rPr>
        <w:t xml:space="preserve">/locale behavior for Arabic screens and components, not only text alignment.</w:t>
      </w:r>
    </w:p>
    <w:p w:rsidR="00000000" w:rsidDel="00000000" w:rsidP="00000000" w:rsidRDefault="00000000" w:rsidRPr="00000000" w14:paraId="0000004A">
      <w:pPr>
        <w:rPr/>
      </w:pPr>
      <w:r w:rsidDel="00000000" w:rsidR="00000000" w:rsidRPr="00000000">
        <w:rPr>
          <w:rtl w:val="0"/>
        </w:rPr>
        <w:t xml:space="preserve">- Mirror back/forward, step progress and other directional cues appropriately.</w:t>
      </w:r>
    </w:p>
    <w:p w:rsidR="00000000" w:rsidDel="00000000" w:rsidP="00000000" w:rsidRDefault="00000000" w:rsidRPr="00000000" w14:paraId="0000004B">
      <w:pPr>
        <w:rPr/>
      </w:pPr>
      <w:r w:rsidDel="00000000" w:rsidR="00000000" w:rsidRPr="00000000">
        <w:rPr>
          <w:rtl w:val="0"/>
        </w:rPr>
        <w:t xml:space="preserve">- Keep IMO IDs, booking references, email addresses, phone numbers and QR tokens stable in their correct text direction.</w:t>
      </w:r>
    </w:p>
    <w:p w:rsidR="00000000" w:rsidDel="00000000" w:rsidP="00000000" w:rsidRDefault="00000000" w:rsidRPr="00000000" w14:paraId="0000004C">
      <w:pPr>
        <w:rPr/>
      </w:pPr>
      <w:r w:rsidDel="00000000" w:rsidR="00000000" w:rsidRPr="00000000">
        <w:rPr>
          <w:rtl w:val="0"/>
        </w:rPr>
        <w:t xml:space="preserve">- Test forms, tables, pagination, filters, validation, progress indicators and document exports in both locales.</w:t>
      </w:r>
    </w:p>
    <w:p w:rsidR="00000000" w:rsidDel="00000000" w:rsidP="00000000" w:rsidRDefault="00000000" w:rsidRPr="00000000" w14:paraId="0000004D">
      <w:pPr>
        <w:rPr/>
      </w:pPr>
      <w:r w:rsidDel="00000000" w:rsidR="00000000" w:rsidRPr="00000000">
        <w:rPr>
          <w:rtl w:val="0"/>
        </w:rPr>
        <w:t xml:space="preserve">Source: Material Design, Bidirectionality: https://m1.material.io/usability/bidirectionality.html</w:t>
      </w:r>
    </w:p>
    <w:p w:rsidR="00000000" w:rsidDel="00000000" w:rsidP="00000000" w:rsidRDefault="00000000" w:rsidRPr="00000000" w14:paraId="0000004E">
      <w:pPr>
        <w:pStyle w:val="Heading3"/>
        <w:rPr>
          <w:b w:val="1"/>
          <w:bCs w:val="1"/>
        </w:rPr>
      </w:pPr>
      <w:bookmarkStart w:colFirst="0" w:colLast="0" w:name="_7necuy3ugl7r" w:id="12"/>
      <w:bookmarkEnd w:id="12"/>
      <w:r w:rsidDel="00000000" w:rsidR="00000000" w:rsidRPr="00000000">
        <w:rPr>
          <w:b w:val="1"/>
          <w:bCs w:val="1"/>
          <w:rtl w:val="0"/>
        </w:rPr>
        <w:t xml:space="preserve">7.4 Accessibility standards</w:t>
      </w:r>
    </w:p>
    <w:p w:rsidR="00000000" w:rsidDel="00000000" w:rsidP="00000000" w:rsidRDefault="00000000" w:rsidRPr="00000000" w14:paraId="0000004F">
      <w:pPr>
        <w:rPr/>
      </w:pPr>
      <w:r w:rsidDel="00000000" w:rsidR="00000000" w:rsidRPr="00000000">
        <w:rPr>
          <w:rtl w:val="0"/>
        </w:rPr>
        <w:t xml:space="preserve">Use WCAG 2.2 AA as the proposed implementation target pending ATCO approval. W3C guidance says input errors need to identify the affected item and describe the error in text, and form inputs require labels/instructions. WCAG 2.2 AA also defines a 24 × 24 CSS-pixel minimum target size subject to exceptions; as a practical mobile design goal, use approximately 44 × 44 CSS-pixel controls for frequent, primary touch actions where layout permits.</w:t>
      </w:r>
    </w:p>
    <w:p w:rsidR="00000000" w:rsidDel="00000000" w:rsidP="00000000" w:rsidRDefault="00000000" w:rsidRPr="00000000" w14:paraId="00000050">
      <w:pPr>
        <w:rPr/>
      </w:pPr>
      <w:r w:rsidDel="00000000" w:rsidR="00000000" w:rsidRPr="00000000">
        <w:rPr>
          <w:rtl w:val="0"/>
        </w:rPr>
        <w:t xml:space="preserve">Sources:</w:t>
      </w:r>
    </w:p>
    <w:p w:rsidR="00000000" w:rsidDel="00000000" w:rsidP="00000000" w:rsidRDefault="00000000" w:rsidRPr="00000000" w14:paraId="00000051">
      <w:pPr>
        <w:rPr/>
      </w:pPr>
      <w:r w:rsidDel="00000000" w:rsidR="00000000" w:rsidRPr="00000000">
        <w:rPr>
          <w:rtl w:val="0"/>
        </w:rPr>
        <w:t xml:space="preserve">- WCAG 2.2 Understanding: https://www.w3.org/WAI/WCAG22/Understanding/</w:t>
      </w:r>
    </w:p>
    <w:p w:rsidR="00000000" w:rsidDel="00000000" w:rsidP="00000000" w:rsidRDefault="00000000" w:rsidRPr="00000000" w14:paraId="00000052">
      <w:pPr>
        <w:rPr/>
      </w:pPr>
      <w:r w:rsidDel="00000000" w:rsidR="00000000" w:rsidRPr="00000000">
        <w:rPr>
          <w:rtl w:val="0"/>
        </w:rPr>
        <w:t xml:space="preserve">- Error Identification: https://www.w3.org/WAI/WCAG22/Understanding/error-identification</w:t>
      </w:r>
    </w:p>
    <w:p w:rsidR="00000000" w:rsidDel="00000000" w:rsidP="00000000" w:rsidRDefault="00000000" w:rsidRPr="00000000" w14:paraId="00000053">
      <w:pPr>
        <w:rPr/>
      </w:pPr>
      <w:r w:rsidDel="00000000" w:rsidR="00000000" w:rsidRPr="00000000">
        <w:rPr>
          <w:rtl w:val="0"/>
        </w:rPr>
        <w:t xml:space="preserve">- Labels or Instructions: https://www.w3.org/WAI/WCAG22/Understanding/labels-or-instructions</w:t>
      </w:r>
    </w:p>
    <w:p w:rsidR="00000000" w:rsidDel="00000000" w:rsidP="00000000" w:rsidRDefault="00000000" w:rsidRPr="00000000" w14:paraId="00000054">
      <w:pPr>
        <w:rPr/>
      </w:pPr>
      <w:r w:rsidDel="00000000" w:rsidR="00000000" w:rsidRPr="00000000">
        <w:rPr>
          <w:rtl w:val="0"/>
        </w:rPr>
        <w:t xml:space="preserve">- Target Size (Minimum): https://www.w3.org/WAI/WCAG22/Understanding/target-size-minimum</w:t>
      </w:r>
    </w:p>
    <w:p w:rsidR="00000000" w:rsidDel="00000000" w:rsidP="00000000" w:rsidRDefault="00000000" w:rsidRPr="00000000" w14:paraId="00000055">
      <w:pPr>
        <w:pStyle w:val="Heading2"/>
        <w:rPr>
          <w:b w:val="1"/>
          <w:bCs w:val="1"/>
        </w:rPr>
      </w:pPr>
      <w:bookmarkStart w:colFirst="0" w:colLast="0" w:name="_j1i4ndihpjpr" w:id="13"/>
      <w:bookmarkEnd w:id="13"/>
      <w:r w:rsidDel="00000000" w:rsidR="00000000" w:rsidRPr="00000000">
        <w:rPr>
          <w:b w:val="1"/>
          <w:bCs w:val="1"/>
          <w:rtl w:val="0"/>
        </w:rPr>
        <w:t xml:space="preserve">8. Recommended direction</w:t>
      </w:r>
    </w:p>
    <w:p w:rsidR="00000000" w:rsidDel="00000000" w:rsidP="00000000" w:rsidRDefault="00000000" w:rsidRPr="00000000" w14:paraId="00000056">
      <w:pPr>
        <w:pStyle w:val="Heading3"/>
        <w:rPr>
          <w:b w:val="1"/>
          <w:bCs w:val="1"/>
        </w:rPr>
      </w:pPr>
      <w:bookmarkStart w:colFirst="0" w:colLast="0" w:name="_ydkk9ta2nbav" w:id="14"/>
      <w:bookmarkEnd w:id="14"/>
      <w:r w:rsidDel="00000000" w:rsidR="00000000" w:rsidRPr="00000000">
        <w:rPr>
          <w:b w:val="1"/>
          <w:bCs w:val="1"/>
          <w:rtl w:val="0"/>
        </w:rPr>
        <w:t xml:space="preserve">Choose Concept A — Clear Marine as the default system</w:t>
      </w:r>
    </w:p>
    <w:p w:rsidR="00000000" w:rsidDel="00000000" w:rsidP="00000000" w:rsidRDefault="00000000" w:rsidRPr="00000000" w14:paraId="00000057">
      <w:pPr>
        <w:rPr/>
      </w:pPr>
      <w:r w:rsidDel="00000000" w:rsidR="00000000" w:rsidRPr="00000000">
        <w:rPr>
          <w:rtl w:val="0"/>
        </w:rPr>
        <w:t xml:space="preserve">Why:</w:t>
      </w:r>
    </w:p>
    <w:p w:rsidR="00000000" w:rsidDel="00000000" w:rsidP="00000000" w:rsidRDefault="00000000" w:rsidRPr="00000000" w14:paraId="00000058">
      <w:pPr>
        <w:rPr/>
      </w:pPr>
      <w:r w:rsidDel="00000000" w:rsidR="00000000" w:rsidRPr="00000000">
        <w:rPr>
          <w:rtl w:val="0"/>
        </w:rPr>
        <w:t xml:space="preserve">- It directly responds to the requested navy/teal/white design direction.</w:t>
      </w:r>
    </w:p>
    <w:p w:rsidR="00000000" w:rsidDel="00000000" w:rsidP="00000000" w:rsidRDefault="00000000" w:rsidRPr="00000000" w14:paraId="00000059">
      <w:pPr>
        <w:rPr/>
      </w:pPr>
      <w:r w:rsidDel="00000000" w:rsidR="00000000" w:rsidRPr="00000000">
        <w:rPr>
          <w:rtl w:val="0"/>
        </w:rPr>
        <w:t xml:space="preserve">- It supports a trustworthy customer journey while staying appropriate for an operational dashboard.</w:t>
      </w:r>
    </w:p>
    <w:p w:rsidR="00000000" w:rsidDel="00000000" w:rsidP="00000000" w:rsidRDefault="00000000" w:rsidRPr="00000000" w14:paraId="0000005A">
      <w:pPr>
        <w:rPr/>
      </w:pPr>
      <w:r w:rsidDel="00000000" w:rsidR="00000000" w:rsidRPr="00000000">
        <w:rPr>
          <w:rtl w:val="0"/>
        </w:rPr>
        <w:t xml:space="preserve">- It is easy to extend into corporate, agent, finance and boarding views with common components.</w:t>
      </w:r>
    </w:p>
    <w:p w:rsidR="00000000" w:rsidDel="00000000" w:rsidP="00000000" w:rsidRDefault="00000000" w:rsidRPr="00000000" w14:paraId="0000005B">
      <w:pPr>
        <w:rPr/>
      </w:pPr>
      <w:r w:rsidDel="00000000" w:rsidR="00000000" w:rsidRPr="00000000">
        <w:rPr>
          <w:rtl w:val="0"/>
        </w:rPr>
        <w:t xml:space="preserve">- An amber action accent creates a visible booking CTA without relying on a low-contrast teal button.</w:t>
      </w:r>
    </w:p>
    <w:p w:rsidR="00000000" w:rsidDel="00000000" w:rsidP="00000000" w:rsidRDefault="00000000" w:rsidRPr="00000000" w14:paraId="0000005C">
      <w:pPr>
        <w:rPr/>
      </w:pPr>
      <w:r w:rsidDel="00000000" w:rsidR="00000000" w:rsidRPr="00000000">
        <w:rPr>
          <w:rtl w:val="0"/>
        </w:rPr>
        <w:t xml:space="preserve">- It allows marine photography in the public landing hero but keeps booking forms and operational screens restrained.</w:t>
      </w:r>
    </w:p>
    <w:p w:rsidR="00000000" w:rsidDel="00000000" w:rsidP="00000000" w:rsidRDefault="00000000" w:rsidRPr="00000000" w14:paraId="0000005D">
      <w:pPr>
        <w:pStyle w:val="Heading3"/>
        <w:rPr>
          <w:b w:val="1"/>
          <w:bCs w:val="1"/>
        </w:rPr>
      </w:pPr>
      <w:bookmarkStart w:colFirst="0" w:colLast="0" w:name="_ndc4ogltc9se" w:id="15"/>
      <w:bookmarkEnd w:id="15"/>
      <w:r w:rsidDel="00000000" w:rsidR="00000000" w:rsidRPr="00000000">
        <w:rPr>
          <w:b w:val="1"/>
          <w:bCs w:val="1"/>
          <w:rtl w:val="0"/>
        </w:rPr>
        <w:t xml:space="preserve">Keep two distinct layout modes</w:t>
      </w:r>
    </w:p>
    <w:p w:rsidR="00000000" w:rsidDel="00000000" w:rsidP="00000000" w:rsidRDefault="00000000" w:rsidRPr="00000000" w14:paraId="0000005E">
      <w:pPr>
        <w:rPr/>
      </w:pPr>
      <w:r w:rsidDel="00000000" w:rsidR="00000000" w:rsidRPr="00000000">
        <w:rPr>
          <w:b w:val="1"/>
          <w:bCs w:val="1"/>
          <w:rtl w:val="0"/>
        </w:rPr>
        <w:t xml:space="preserve">Customer mode:</w:t>
      </w:r>
      <w:r w:rsidDel="00000000" w:rsidR="00000000" w:rsidRPr="00000000">
        <w:rPr>
          <w:rtl w:val="0"/>
        </w:rPr>
        <w:t xml:space="preserve"> guided flow, fewer controls per screen, clear step count, large touch targets, persistent trip summary, price transparency, understandable statuses and recovery options.</w:t>
      </w:r>
    </w:p>
    <w:p w:rsidR="00000000" w:rsidDel="00000000" w:rsidP="00000000" w:rsidRDefault="00000000" w:rsidRPr="00000000" w14:paraId="0000005F">
      <w:pPr>
        <w:rPr/>
      </w:pPr>
      <w:r w:rsidDel="00000000" w:rsidR="00000000" w:rsidRPr="00000000">
        <w:rPr>
          <w:b w:val="1"/>
          <w:bCs w:val="1"/>
          <w:rtl w:val="0"/>
        </w:rPr>
        <w:t xml:space="preserve">Operations mode:</w:t>
      </w:r>
      <w:r w:rsidDel="00000000" w:rsidR="00000000" w:rsidRPr="00000000">
        <w:rPr>
          <w:rtl w:val="0"/>
        </w:rPr>
        <w:t xml:space="preserve"> high-density table, filters, queues, explicit statuses, context panel, direct actions, exception prioritization and auditable changes. Responsive behavior should simplify columns into useful cards on smaller screens, not merely shrink a desktop table.</w:t>
      </w:r>
    </w:p>
    <w:p w:rsidR="00000000" w:rsidDel="00000000" w:rsidP="00000000" w:rsidRDefault="00000000" w:rsidRPr="00000000" w14:paraId="00000060">
      <w:pPr>
        <w:pStyle w:val="Heading2"/>
        <w:rPr>
          <w:b w:val="1"/>
          <w:bCs w:val="1"/>
        </w:rPr>
      </w:pPr>
      <w:bookmarkStart w:colFirst="0" w:colLast="0" w:name="_ug182yyenpcg" w:id="16"/>
      <w:bookmarkEnd w:id="16"/>
      <w:r w:rsidDel="00000000" w:rsidR="00000000" w:rsidRPr="00000000">
        <w:rPr>
          <w:b w:val="1"/>
          <w:bCs w:val="1"/>
          <w:rtl w:val="0"/>
        </w:rPr>
        <w:t xml:space="preserve">9. Key anti-patterns to avoid</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One giant form that asks for all passenger, permit, corporate and payment information before the sailing is selected.</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Hiding totals, VAT treatment or return cost until late checkout.</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Treating a paid booking, threshold met and operationally approved as one status.</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Free-text destinations that can suggest an unapproved route.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Relying on red/green alone to explain status.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Arabic screens created by mirroring every icon blindly or only right-aligning text.</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Dense tiny dashboard controls, unlabeled icon buttons or vague error messages.</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Decorative marine imagery implying a real vessel or an approved port/permit process.</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Screenshots or reference patterns being represented as current Gulf Mover functionality.</w:t>
      </w:r>
    </w:p>
    <w:p w:rsidR="00000000" w:rsidDel="00000000" w:rsidP="00000000" w:rsidRDefault="00000000" w:rsidRPr="00000000" w14:paraId="0000006A">
      <w:pPr>
        <w:pStyle w:val="Heading2"/>
        <w:rPr>
          <w:b w:val="1"/>
          <w:bCs w:val="1"/>
        </w:rPr>
      </w:pPr>
      <w:bookmarkStart w:colFirst="0" w:colLast="0" w:name="_3xwxmyy0wots" w:id="17"/>
      <w:bookmarkEnd w:id="17"/>
      <w:r w:rsidDel="00000000" w:rsidR="00000000" w:rsidRPr="00000000">
        <w:rPr>
          <w:b w:val="1"/>
          <w:bCs w:val="1"/>
          <w:rtl w:val="0"/>
        </w:rPr>
        <w:t xml:space="preserve">10. Next research and validation activities</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Manually open the supplied demo URL in a normal browser, capture actual screens at desktop/mobile widths, and confirm with ATCO whether it is current, illustrative or mandatory starting material.</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Review current ATCO brand assets and obtain the official logo/brand guide before finalizing fonts/colours.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Run 5–7 moderated task walkthroughs as a proposed validation sample, including an individual customer, corporate booker, ship agent, operations user, boarding user and finance user. This is a suggested formative sample, not a statistically representative sample.</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Test English and Arabic journeys, including real Arabic reviewer checks.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Ask ATCO Operations to validate status language and approvals; Finance to validate price, tax and payment copy; IT/Security to validate sensitive-field exposure.</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Convert unresolved questions into design decisions and acceptance tests before production.</w:t>
      </w:r>
    </w:p>
    <w:p w:rsidR="00000000" w:rsidDel="00000000" w:rsidP="00000000" w:rsidRDefault="00000000" w:rsidRPr="00000000" w14:paraId="00000071">
      <w:pPr>
        <w:pStyle w:val="Heading2"/>
        <w:rPr>
          <w:b w:val="1"/>
          <w:bCs w:val="1"/>
        </w:rPr>
      </w:pPr>
      <w:bookmarkStart w:colFirst="0" w:colLast="0" w:name="_6sgggvtfjlrx" w:id="18"/>
      <w:bookmarkEnd w:id="18"/>
      <w:r w:rsidDel="00000000" w:rsidR="00000000" w:rsidRPr="00000000">
        <w:rPr>
          <w:b w:val="1"/>
          <w:bCs w:val="1"/>
          <w:rtl w:val="0"/>
        </w:rPr>
        <w:t xml:space="preserve">11. Reference asset register</w:t>
      </w:r>
    </w:p>
    <w:p w:rsidR="00000000" w:rsidDel="00000000" w:rsidP="00000000" w:rsidRDefault="00000000" w:rsidRPr="00000000" w14:paraId="00000072">
      <w:pPr>
        <w:rPr/>
      </w:pPr>
      <w:r w:rsidDel="00000000" w:rsidR="00000000" w:rsidRPr="00000000">
        <w:rPr>
          <w:rtl w:val="0"/>
        </w:rPr>
        <w:t xml:space="preserve">These public screens are reference material only. Use the links to open the source and capture a dated screenshot or mood-board crop if permitted. Follow the source site's terms and do not copy logos, product content or imagery into production without rights/approval.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to inspect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Jadrolinija 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Route/date form, return option, notices and journey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https://www.bug.hr/appdana/mjadrolinija--nova-aplikacija-zamijenit-ce-postojecu-za-digitalno-iskustvo-56195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Molslinjen booking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progress and comparable sailing/fare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https://www.knowit.dk/cases/molslinjen/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Dover–Calais fare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Departure list, fare selection and visible booking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https://www.calaiswine.co.uk/new-travel-deal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Heyport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dashboard and time-line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https://heyport.io/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Maritime table/lineup and status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https://emilforsmann.com/work/portchain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Saudi DGA Platform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design-system and inclusion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https://dga.gov.sa/ar/digital-knowledge/national-design-system-of-Saudi-Arabia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bidirectionality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Arabic RTL layout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https://m1.material.io/usability/bidirectionality.html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W3C WCAG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https://www.w3.org/WAI/WCAG22/Understanding/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Baymard mobile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clarity and mobile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https://baymard.com/research-articles/mobile-ecommerce-checkout-forms</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1pbxjjb6z6wk" w:id="19"/>
      <w:bookmarkEnd w:id="19"/>
      <w:r w:rsidDel="00000000" w:rsidR="00000000" w:rsidRPr="00000000">
        <w:rPr>
          <w:b w:val="1"/>
          <w:bCs w:val="1"/>
          <w:rtl w:val="0"/>
        </w:rPr>
        <w:t xml:space="preserve">Research limits</w:t>
      </w:r>
    </w:p>
    <w:p w:rsidR="00000000" w:rsidDel="00000000" w:rsidP="00000000" w:rsidRDefault="00000000" w:rsidRPr="00000000" w14:paraId="00000095">
      <w:pPr>
        <w:rPr/>
      </w:pPr>
      <w:r w:rsidDel="00000000" w:rsidR="00000000" w:rsidRPr="00000000">
        <w:rPr>
          <w:rtl w:val="0"/>
        </w:rPr>
        <w:t xml:space="preserve">Public examples show patterns, not Gulf Mover backend capabilities. No first-party user research, usability testing, analytics, design-token contrast audit or ATCO approval has yet taken place. The design direction below must remain labelled proposed until reviewed.</w:t>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