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8o88lqih0my8" w:id="0"/>
      <w:bookmarkEnd w:id="0"/>
      <w:r w:rsidDel="00000000" w:rsidR="00000000" w:rsidRPr="00000000">
        <w:rPr>
          <w:b w:val="1"/>
          <w:bCs w:val="1"/>
          <w:rtl w:val="0"/>
        </w:rPr>
        <w:t xml:space="preserve">Technical Architecture and Core Data Model</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baseline for technical review — not a final vendor commitment.</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ufo5iwfgzf9s" w:id="1"/>
      <w:bookmarkEnd w:id="1"/>
      <w:r w:rsidDel="00000000" w:rsidR="00000000" w:rsidRPr="00000000">
        <w:rPr>
          <w:b w:val="1"/>
          <w:bCs w:val="1"/>
          <w:rtl w:val="0"/>
        </w:rPr>
        <w:t xml:space="preserve">1. Recommendation</w:t>
      </w:r>
    </w:p>
    <w:p w:rsidR="00000000" w:rsidDel="00000000" w:rsidP="00000000" w:rsidRDefault="00000000" w:rsidRPr="00000000" w14:paraId="00000005">
      <w:pPr>
        <w:rPr/>
      </w:pPr>
      <w:r w:rsidDel="00000000" w:rsidR="00000000" w:rsidRPr="00000000">
        <w:rPr>
          <w:rtl w:val="0"/>
        </w:rPr>
        <w:t xml:space="preserve">Start with a responsive bilingual web application that can be installed as a Progressive Web App (PWA), backed by a secure server-side API and a relational database. This meets the client's requirement for mobile, tablet and desktop access while keeping the initial delivery simpler than maintaining separate iOS and Android codebases. Native applications should remain separately scoped and priced as the RFP requests. The final stack and hosting region must be selected after ATCO IT/security confirms constraints and integration needs.</w:t>
      </w:r>
    </w:p>
    <w:p w:rsidR="00000000" w:rsidDel="00000000" w:rsidP="00000000" w:rsidRDefault="00000000" w:rsidRPr="00000000" w14:paraId="00000006">
      <w:pPr>
        <w:rPr/>
      </w:pPr>
      <w:r w:rsidDel="00000000" w:rsidR="00000000" w:rsidRPr="00000000">
        <w:rPr>
          <w:rtl w:val="0"/>
        </w:rPr>
        <w:t xml:space="preserve">Use a modular application with clear boundaries for booking, schedules/capacity, customers/organizations, payment, invoicing, operations/boarding, materials, agent settlements, notifications and reporting. Do not start with microservices unless measured scale or organizational constraints justify the extra deployment and operational complexity.</w:t>
      </w:r>
    </w:p>
    <w:p w:rsidR="00000000" w:rsidDel="00000000" w:rsidP="00000000" w:rsidRDefault="00000000" w:rsidRPr="00000000" w14:paraId="00000007">
      <w:pPr>
        <w:pStyle w:val="Heading2"/>
        <w:rPr>
          <w:b w:val="1"/>
          <w:bCs w:val="1"/>
        </w:rPr>
      </w:pPr>
      <w:bookmarkStart w:colFirst="0" w:colLast="0" w:name="_79sqdjdeuelq" w:id="2"/>
      <w:bookmarkEnd w:id="2"/>
      <w:r w:rsidDel="00000000" w:rsidR="00000000" w:rsidRPr="00000000">
        <w:rPr>
          <w:b w:val="1"/>
          <w:bCs w:val="1"/>
          <w:rtl w:val="0"/>
        </w:rPr>
        <w:t xml:space="preserve">2. Logical architecture</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Customer channels:</w:t>
      </w:r>
      <w:r w:rsidDel="00000000" w:rsidR="00000000" w:rsidRPr="00000000">
        <w:rPr>
          <w:rtl w:val="0"/>
        </w:rPr>
        <w:t xml:space="preserve"> responsive English/Arabic web app/PWA; later optional native iOS/Android clients.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Admin and operations console:</w:t>
      </w:r>
      <w:r w:rsidDel="00000000" w:rsidR="00000000" w:rsidRPr="00000000">
        <w:rPr>
          <w:rtl w:val="0"/>
        </w:rPr>
        <w:t xml:space="preserve"> separate protected interface for ATCO Operations, Finance, boarding and system administration.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Application API:</w:t>
      </w:r>
      <w:r w:rsidDel="00000000" w:rsidR="00000000" w:rsidRPr="00000000">
        <w:rPr>
          <w:rtl w:val="0"/>
        </w:rPr>
        <w:t xml:space="preserve"> authentication, authorization, validation, pricing, booking state transitions and audit events.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Relational database:</w:t>
      </w:r>
      <w:r w:rsidDel="00000000" w:rsidR="00000000" w:rsidRPr="00000000">
        <w:rPr>
          <w:rtl w:val="0"/>
        </w:rPr>
        <w:t xml:space="preserve"> transactional source of truth for schedules, capacity, bookings, passengers, payments, approvals, manifests and settlements.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Private document storage:</w:t>
      </w:r>
      <w:r w:rsidDel="00000000" w:rsidR="00000000" w:rsidRPr="00000000">
        <w:rPr>
          <w:rtl w:val="0"/>
        </w:rPr>
        <w:t xml:space="preserve"> material attachments and operational evidence with access-controlled, expiring links.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Payment gateway:</w:t>
      </w:r>
      <w:r w:rsidDel="00000000" w:rsidR="00000000" w:rsidRPr="00000000">
        <w:rPr>
          <w:rtl w:val="0"/>
        </w:rPr>
        <w:t xml:space="preserve"> hosted checkout/tokenized payment flow; gateway processes card data and sends signed callbacks/webhooks.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Notification adapter:</w:t>
      </w:r>
      <w:r w:rsidDel="00000000" w:rsidR="00000000" w:rsidRPr="00000000">
        <w:rPr>
          <w:rtl w:val="0"/>
        </w:rPr>
        <w:t xml:space="preserve"> provider-agnostic interface for email, SMS and approved WhatsApp Business, with delivery status and retries.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Reporting/export layer:</w:t>
      </w:r>
      <w:r w:rsidDel="00000000" w:rsidR="00000000" w:rsidRPr="00000000">
        <w:rPr>
          <w:rtl w:val="0"/>
        </w:rPr>
        <w:t xml:space="preserve"> role-scoped operational and finance reports, reconciliations and CSV/PDF exports.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Operations/observability:</w:t>
      </w:r>
      <w:r w:rsidDel="00000000" w:rsidR="00000000" w:rsidRPr="00000000">
        <w:rPr>
          <w:rtl w:val="0"/>
        </w:rPr>
        <w:t xml:space="preserve"> monitoring, structured logs, alerts, backups, restore procedures and deployment pipeline.</w:t>
      </w:r>
    </w:p>
    <w:p w:rsidR="00000000" w:rsidDel="00000000" w:rsidP="00000000" w:rsidRDefault="00000000" w:rsidRPr="00000000" w14:paraId="00000011">
      <w:pPr>
        <w:pStyle w:val="Heading2"/>
        <w:rPr>
          <w:b w:val="1"/>
          <w:bCs w:val="1"/>
        </w:rPr>
      </w:pPr>
      <w:bookmarkStart w:colFirst="0" w:colLast="0" w:name="_hj4ymsvi3se0" w:id="3"/>
      <w:bookmarkEnd w:id="3"/>
      <w:r w:rsidDel="00000000" w:rsidR="00000000" w:rsidRPr="00000000">
        <w:rPr>
          <w:b w:val="1"/>
          <w:bCs w:val="1"/>
          <w:rtl w:val="0"/>
        </w:rPr>
        <w:t xml:space="preserve">3. Core domain model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Entity</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 / important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contact, authentication subject, status, locale,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Corporate/agent identity, billing details, verification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OrganizationMembership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User-to-organization relationship, role, active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Permission catalog and assigned roles; enforce server-side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vessel identity, capacity/payload values, licence/insurance references and validity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destination/anchorage/vessel target, operational restrictions, active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Direction, destination, departure time/time zone, capacity, status, minimum threshold, cut-off and approval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Customer/organization, booking reference, service type, sailing link(s), price snapshot, status and policy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link, minimum necessary identity/contact/permit data, boarding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ticket ID/QR token, passenger or booking association, validity, scan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quantity, weight, dimensions, sender/receiver, destination, attachments, review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Reviewer, decision, reason, time, conditions and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 transaction ID, amount/currency, status, idempotency key, settlement/reconciliation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reference, amount, reason, approver, provider result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Invoice/CreditNote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 number, customer, line items, tax fields, status, e-invoice integration metadata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AgentAgreement/Settlement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Agreement validity, commission rule version, calculated lines, holds, adjustments and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type, decision-maker, timestamp, reason, evidence and related sailing/booking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BoardingEvent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Ticket/booking, scanner/staff actor, timestamp, result, location/device and override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PolicyVersion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Policy text/version, effective time and acknowledgement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action, target, timestamp, outcome, correlation ID and reason</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Model return journeys as two distinct sailing legs and tickets, linked by a journey/group reference. Do not represent a return as one ticket with one capacity count.</w:t>
      </w:r>
    </w:p>
    <w:p w:rsidR="00000000" w:rsidDel="00000000" w:rsidP="00000000" w:rsidRDefault="00000000" w:rsidRPr="00000000" w14:paraId="00000040">
      <w:pPr>
        <w:pStyle w:val="Heading2"/>
        <w:rPr>
          <w:b w:val="1"/>
          <w:bCs w:val="1"/>
        </w:rPr>
      </w:pPr>
      <w:bookmarkStart w:colFirst="0" w:colLast="0" w:name="_e80zs6q9l86k" w:id="4"/>
      <w:bookmarkEnd w:id="4"/>
      <w:r w:rsidDel="00000000" w:rsidR="00000000" w:rsidRPr="00000000">
        <w:rPr>
          <w:b w:val="1"/>
          <w:bCs w:val="1"/>
          <w:rtl w:val="0"/>
        </w:rPr>
        <w:t xml:space="preserve">4. State model: keep separate dimensions separate</w:t>
      </w:r>
    </w:p>
    <w:p w:rsidR="00000000" w:rsidDel="00000000" w:rsidP="00000000" w:rsidRDefault="00000000" w:rsidRPr="00000000" w14:paraId="00000041">
      <w:pPr>
        <w:rPr/>
      </w:pPr>
      <w:r w:rsidDel="00000000" w:rsidR="00000000" w:rsidRPr="00000000">
        <w:rPr>
          <w:rtl w:val="0"/>
        </w:rPr>
        <w:t xml:space="preserve">Avoid one giant status field. Recommended independent status dimensions:</w:t>
      </w:r>
    </w:p>
    <w:p w:rsidR="00000000" w:rsidDel="00000000" w:rsidP="00000000" w:rsidRDefault="00000000" w:rsidRPr="00000000" w14:paraId="00000042">
      <w:pPr>
        <w:rPr/>
      </w:pPr>
      <w:r w:rsidDel="00000000" w:rsidR="00000000" w:rsidRPr="00000000">
        <w:rPr>
          <w:rtl w:val="0"/>
        </w:rPr>
        <w:t xml:space="preserve">- </w:t>
      </w:r>
      <w:r w:rsidDel="00000000" w:rsidR="00000000" w:rsidRPr="00000000">
        <w:rPr>
          <w:b w:val="1"/>
          <w:bCs w:val="1"/>
          <w:rtl w:val="0"/>
        </w:rPr>
        <w:t xml:space="preserve">Payment:</w:t>
      </w:r>
      <w:r w:rsidDel="00000000" w:rsidR="00000000" w:rsidRPr="00000000">
        <w:rPr>
          <w:rtl w:val="0"/>
        </w:rPr>
        <w:t xml:space="preserve"> unpaid, pending, paid, failed, partially refunded, refunded, disputed (final enum to be agreed with gateway/finance).</w:t>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b w:val="1"/>
          <w:bCs w:val="1"/>
          <w:rtl w:val="0"/>
        </w:rPr>
        <w:t xml:space="preserve">Booking:</w:t>
      </w:r>
      <w:r w:rsidDel="00000000" w:rsidR="00000000" w:rsidRPr="00000000">
        <w:rPr>
          <w:rtl w:val="0"/>
        </w:rPr>
        <w:t xml:space="preserve"> draft, awaiting payment, reserved, amended, cancelled, completed.</w:t>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b w:val="1"/>
          <w:bCs w:val="1"/>
          <w:rtl w:val="0"/>
        </w:rPr>
        <w:t xml:space="preserve">Sailing threshold:</w:t>
      </w:r>
      <w:r w:rsidDel="00000000" w:rsidR="00000000" w:rsidRPr="00000000">
        <w:rPr>
          <w:rtl w:val="0"/>
        </w:rPr>
        <w:t xml:space="preserve"> collecting bookings, threshold met, threshold not met at deadline, exception approved.</w:t>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b w:val="1"/>
          <w:bCs w:val="1"/>
          <w:rtl w:val="0"/>
        </w:rPr>
        <w:t xml:space="preserve">Operational readiness:</w:t>
      </w:r>
      <w:r w:rsidDel="00000000" w:rsidR="00000000" w:rsidRPr="00000000">
        <w:rPr>
          <w:rtl w:val="0"/>
        </w:rPr>
        <w:t xml:space="preserve"> awaiting review, approved to proceed, suspended, cancelled, completed; exact labels and gates require ATCO approval.</w:t>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b w:val="1"/>
          <w:bCs w:val="1"/>
          <w:rtl w:val="0"/>
        </w:rPr>
        <w:t xml:space="preserve">Boarding:</w:t>
      </w:r>
      <w:r w:rsidDel="00000000" w:rsidR="00000000" w:rsidRPr="00000000">
        <w:rPr>
          <w:rtl w:val="0"/>
        </w:rPr>
        <w:t xml:space="preserve"> not checked in, boarded, no-show, manual override, ticket invalid/reused.</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Material review:</w:t>
      </w:r>
      <w:r w:rsidDel="00000000" w:rsidR="00000000" w:rsidRPr="00000000">
        <w:rPr>
          <w:rtl w:val="0"/>
        </w:rPr>
        <w:t xml:space="preserve"> submitted, under review, approved, rejected, delivered.</w:t>
      </w:r>
    </w:p>
    <w:p w:rsidR="00000000" w:rsidDel="00000000" w:rsidP="00000000" w:rsidRDefault="00000000" w:rsidRPr="00000000" w14:paraId="00000048">
      <w:pPr>
        <w:rPr/>
      </w:pPr>
      <w:r w:rsidDel="00000000" w:rsidR="00000000" w:rsidRPr="00000000">
        <w:rPr>
          <w:rtl w:val="0"/>
        </w:rPr>
        <w:t xml:space="preserve">A paid booking is not proof that a sailing is operationally approved. A sailing that meets the minimum ticket threshold is not automatically cleared for port access or departure. Each transition must be validated server-side and written to the audit trail.</w:t>
      </w:r>
    </w:p>
    <w:p w:rsidR="00000000" w:rsidDel="00000000" w:rsidP="00000000" w:rsidRDefault="00000000" w:rsidRPr="00000000" w14:paraId="00000049">
      <w:pPr>
        <w:pStyle w:val="Heading2"/>
        <w:rPr>
          <w:b w:val="1"/>
          <w:bCs w:val="1"/>
        </w:rPr>
      </w:pPr>
      <w:bookmarkStart w:colFirst="0" w:colLast="0" w:name="_1pwr00bvvwht" w:id="5"/>
      <w:bookmarkEnd w:id="5"/>
      <w:r w:rsidDel="00000000" w:rsidR="00000000" w:rsidRPr="00000000">
        <w:rPr>
          <w:b w:val="1"/>
          <w:bCs w:val="1"/>
          <w:rtl w:val="0"/>
        </w:rPr>
        <w:t xml:space="preserve">5. Critical consistency controls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Use database transactions/locking or equivalent atomic reservation logic to prevent overselling seats or payload.</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Use idempotency keys for booking/payment requests and safe webhook processing.</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Keep an immutable price/tax/commission snapshot for each confirmed transaction so later tariff changes do not silently rewrite history.</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Effective-date tariffs, schedules and policies; apply changes according to ATCO-approved rules.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Store timestamps in UTC and render in the configured service time zone; display Saudi Arabia local time for Ras Tanura operations.</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Store currency explicitly (SAR at launch unless approved otherwise) and define rounding rules with Finance.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Treat QR codes as opaque, unguessable tokens; do not encode passport/identity information in the QR itself.</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Prevent QR reuse using a server-verified scan/boarding transaction and a documented manual override.</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Separate payment gateway callbacks from user-facing browser redirects; browser redirects alone are not proof of payment.</w:t>
      </w:r>
    </w:p>
    <w:p w:rsidR="00000000" w:rsidDel="00000000" w:rsidP="00000000" w:rsidRDefault="00000000" w:rsidRPr="00000000" w14:paraId="00000053">
      <w:pPr>
        <w:pStyle w:val="Heading2"/>
        <w:rPr>
          <w:b w:val="1"/>
          <w:bCs w:val="1"/>
        </w:rPr>
      </w:pPr>
      <w:bookmarkStart w:colFirst="0" w:colLast="0" w:name="_j56zjhsvvgt" w:id="6"/>
      <w:bookmarkEnd w:id="6"/>
      <w:r w:rsidDel="00000000" w:rsidR="00000000" w:rsidRPr="00000000">
        <w:rPr>
          <w:b w:val="1"/>
          <w:bCs w:val="1"/>
          <w:rtl w:val="0"/>
        </w:rPr>
        <w:t xml:space="preserve">6. Environments and deployment</w:t>
      </w:r>
    </w:p>
    <w:p w:rsidR="00000000" w:rsidDel="00000000" w:rsidP="00000000" w:rsidRDefault="00000000" w:rsidRPr="00000000" w14:paraId="00000054">
      <w:pPr>
        <w:rPr/>
      </w:pPr>
      <w:r w:rsidDel="00000000" w:rsidR="00000000" w:rsidRPr="00000000">
        <w:rPr>
          <w:rtl w:val="0"/>
        </w:rPr>
        <w:t xml:space="preserve">Separate development, staging/UAT and production. Production secrets and customer data must not be reused in lower environments. Use automated tests and reviewed migrations; deploy with rollback capability and a recorded release version. Hosting region, encryption, backup location, disaster recovery and monitoring requirements remain subject to ATCO approval.</w:t>
      </w:r>
    </w:p>
    <w:p w:rsidR="00000000" w:rsidDel="00000000" w:rsidP="00000000" w:rsidRDefault="00000000" w:rsidRPr="00000000" w14:paraId="00000055">
      <w:pPr>
        <w:pStyle w:val="Heading2"/>
        <w:rPr>
          <w:b w:val="1"/>
          <w:bCs w:val="1"/>
        </w:rPr>
      </w:pPr>
      <w:bookmarkStart w:colFirst="0" w:colLast="0" w:name="_ltywq8z2u6ue" w:id="7"/>
      <w:bookmarkEnd w:id="7"/>
      <w:r w:rsidDel="00000000" w:rsidR="00000000" w:rsidRPr="00000000">
        <w:rPr>
          <w:b w:val="1"/>
          <w:bCs w:val="1"/>
          <w:rtl w:val="0"/>
        </w:rPr>
        <w:t xml:space="preserve">7. Integration boundaries</w:t>
      </w:r>
    </w:p>
    <w:p w:rsidR="00000000" w:rsidDel="00000000" w:rsidP="00000000" w:rsidRDefault="00000000" w:rsidRPr="00000000" w14:paraId="00000056">
      <w:pPr>
        <w:rPr/>
      </w:pPr>
      <w:r w:rsidDel="00000000" w:rsidR="00000000" w:rsidRPr="00000000">
        <w:rPr>
          <w:rtl w:val="0"/>
        </w:rPr>
        <w:t xml:space="preserve">Define adapters rather than embedding one vendor deeply into business logic:</w:t>
      </w:r>
    </w:p>
    <w:p w:rsidR="00000000" w:rsidDel="00000000" w:rsidP="00000000" w:rsidRDefault="00000000" w:rsidRPr="00000000" w14:paraId="00000057">
      <w:pPr>
        <w:rPr/>
      </w:pPr>
      <w:r w:rsidDel="00000000" w:rsidR="00000000" w:rsidRPr="00000000">
        <w:rPr>
          <w:rtl w:val="0"/>
        </w:rPr>
        <w:t xml:space="preserve">- Payment gateway adapter: create payment, query status, receive webhook, refund, reconcile.</w:t>
      </w:r>
    </w:p>
    <w:p w:rsidR="00000000" w:rsidDel="00000000" w:rsidP="00000000" w:rsidRDefault="00000000" w:rsidRPr="00000000" w14:paraId="00000058">
      <w:pPr>
        <w:rPr/>
      </w:pPr>
      <w:r w:rsidDel="00000000" w:rsidR="00000000" w:rsidRPr="00000000">
        <w:rPr>
          <w:rtl w:val="0"/>
        </w:rPr>
        <w:t xml:space="preserve">- Messaging adapter: template send, delivery status, retry and fallback.</w:t>
      </w:r>
    </w:p>
    <w:p w:rsidR="00000000" w:rsidDel="00000000" w:rsidP="00000000" w:rsidRDefault="00000000" w:rsidRPr="00000000" w14:paraId="00000059">
      <w:pPr>
        <w:rPr/>
      </w:pPr>
      <w:r w:rsidDel="00000000" w:rsidR="00000000" w:rsidRPr="00000000">
        <w:rPr>
          <w:rtl w:val="0"/>
        </w:rPr>
        <w:t xml:space="preserve">- E-invoicing/accounting adapter: export or API integration based on ATCO Finance decision.</w:t>
      </w:r>
    </w:p>
    <w:p w:rsidR="00000000" w:rsidDel="00000000" w:rsidP="00000000" w:rsidRDefault="00000000" w:rsidRPr="00000000" w14:paraId="0000005A">
      <w:pPr>
        <w:rPr/>
      </w:pPr>
      <w:r w:rsidDel="00000000" w:rsidR="00000000" w:rsidRPr="00000000">
        <w:rPr>
          <w:rtl w:val="0"/>
        </w:rPr>
        <w:t xml:space="preserve">- Identity/permit/port integration: only after ATCO identifies a system and provides official API/documentation and authorization. Until then, use a controlled manual status/evidence workflow.</w:t>
      </w:r>
    </w:p>
    <w:p w:rsidR="00000000" w:rsidDel="00000000" w:rsidP="00000000" w:rsidRDefault="00000000" w:rsidRPr="00000000" w14:paraId="0000005B">
      <w:pPr>
        <w:pStyle w:val="Heading2"/>
        <w:rPr>
          <w:b w:val="1"/>
          <w:bCs w:val="1"/>
        </w:rPr>
      </w:pPr>
      <w:bookmarkStart w:colFirst="0" w:colLast="0" w:name="_qcv44qad4r49" w:id="8"/>
      <w:bookmarkEnd w:id="8"/>
      <w:r w:rsidDel="00000000" w:rsidR="00000000" w:rsidRPr="00000000">
        <w:rPr>
          <w:b w:val="1"/>
          <w:bCs w:val="1"/>
          <w:rtl w:val="0"/>
        </w:rPr>
        <w:t xml:space="preserve">8. Architecture decisions still open</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Hosting provider and approved Saudi/data region.</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Preferred programming language/framework and ATCO IT standards.</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Identity/SSO/MFA provider.</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Payment gateway and exact enabled methods.</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Email/SMS/WhatsApp vendors and account ownership.</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Accounting/ERP/CRM integrations and data exchange format.</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Offline boarding requirements and approved scanner devices.</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Expected volume, availability target, RTO/RPO and support coverage.</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Native-app scope, app-store ownership and ongoing maintenance expectations.</w:t>
      </w:r>
    </w:p>
    <w:p w:rsidR="00000000" w:rsidDel="00000000" w:rsidP="00000000" w:rsidRDefault="00000000" w:rsidRPr="00000000" w14:paraId="00000065">
      <w:pPr>
        <w:pStyle w:val="Heading2"/>
        <w:rPr>
          <w:b w:val="1"/>
          <w:bCs w:val="1"/>
        </w:rPr>
      </w:pPr>
      <w:bookmarkStart w:colFirst="0" w:colLast="0" w:name="_fl4l7rn5p7rv" w:id="9"/>
      <w:bookmarkEnd w:id="9"/>
      <w:r w:rsidDel="00000000" w:rsidR="00000000" w:rsidRPr="00000000">
        <w:rPr>
          <w:b w:val="1"/>
          <w:bCs w:val="1"/>
          <w:rtl w:val="0"/>
        </w:rPr>
        <w:t xml:space="preserve">9. Research references</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Saudi Aramco Ports and Terminals guide (2025): https://www.aramco.com/en/what-we-do/operations/ports-and-terminals</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SDAIA PDPL laws and regulations: https://sdaia.gov.sa/en/SDAIA/about/Pages/RegulationsAndPolicies.aspx</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SAMA mada e-commerce and payment-system information: https://www.sama.gov.sa/en-US/payment/Pages/mada.aspx</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ZATCA e-invoicing technical and implementation guidance: https://zatca.gov.sa/en/E-Invoicing/Pages/default.aspx</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