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xceuorhx2z8e" w:id="0"/>
      <w:bookmarkEnd w:id="0"/>
      <w:r w:rsidDel="00000000" w:rsidR="00000000" w:rsidRPr="00000000">
        <w:rPr>
          <w:b w:val="1"/>
          <w:bCs w:val="1"/>
          <w:rtl w:val="0"/>
        </w:rPr>
        <w:t xml:space="preserve">Agent, Corporate Credit and Settlement Business Rules</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Proposed financial/operational rules for ATCO approval. No commission rate or credit term is assumed.</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fw539p0605o" w:id="1"/>
      <w:bookmarkEnd w:id="1"/>
      <w:r w:rsidDel="00000000" w:rsidR="00000000" w:rsidRPr="00000000">
        <w:rPr>
          <w:b w:val="1"/>
          <w:bCs w:val="1"/>
          <w:rtl w:val="0"/>
        </w:rPr>
        <w:t xml:space="preserve">1. Roles and scope</w:t>
      </w:r>
    </w:p>
    <w:p w:rsidR="00000000" w:rsidDel="00000000" w:rsidP="00000000" w:rsidRDefault="00000000" w:rsidRPr="00000000" w14:paraId="00000005">
      <w:pPr>
        <w:rPr/>
      </w:pPr>
      <w:r w:rsidDel="00000000" w:rsidR="00000000" w:rsidRPr="00000000">
        <w:rPr>
          <w:rtl w:val="0"/>
        </w:rPr>
        <w:t xml:space="preserve">The client brief requires ship agents to book for clients, track assigned transactions and be attributed as a referral/sales source. Corporate accounts may have multiple authorized users, passenger lists, billing details, purchase-order references, history and invoices. Approved corporate accounts may have credit limits, payment terms and overdue controls. Agent remuneration and final tariffs require ATCO approval before activation.</w:t>
      </w:r>
    </w:p>
    <w:p w:rsidR="00000000" w:rsidDel="00000000" w:rsidP="00000000" w:rsidRDefault="00000000" w:rsidRPr="00000000" w14:paraId="00000006">
      <w:pPr>
        <w:pStyle w:val="Heading2"/>
        <w:rPr>
          <w:b w:val="1"/>
          <w:bCs w:val="1"/>
        </w:rPr>
      </w:pPr>
      <w:bookmarkStart w:colFirst="0" w:colLast="0" w:name="_ejcr7msln5mw" w:id="2"/>
      <w:bookmarkEnd w:id="2"/>
      <w:r w:rsidDel="00000000" w:rsidR="00000000" w:rsidRPr="00000000">
        <w:rPr>
          <w:b w:val="1"/>
          <w:bCs w:val="1"/>
          <w:rtl w:val="0"/>
        </w:rPr>
        <w:t xml:space="preserve">2. Agent authorization</w:t>
      </w:r>
    </w:p>
    <w:p w:rsidR="00000000" w:rsidDel="00000000" w:rsidP="00000000" w:rsidRDefault="00000000" w:rsidRPr="00000000" w14:paraId="00000007">
      <w:pPr>
        <w:rPr/>
      </w:pPr>
      <w:r w:rsidDel="00000000" w:rsidR="00000000" w:rsidRPr="00000000">
        <w:rPr>
          <w:rtl w:val="0"/>
        </w:rPr>
        <w:t xml:space="preserve">Each agent should have an approved organization profile, agreement status, effective dates, permitted client relationships, approved service scope and named authorized users. Agent access is limited to assigned clients/transactions and the financial information ATCO allows. Agents must not be able to edit ATCO tariffs, approve their own commission changes, view other agents' settlements or bypass credit holds.</w:t>
      </w:r>
    </w:p>
    <w:p w:rsidR="00000000" w:rsidDel="00000000" w:rsidP="00000000" w:rsidRDefault="00000000" w:rsidRPr="00000000" w14:paraId="00000008">
      <w:pPr>
        <w:rPr/>
      </w:pPr>
      <w:r w:rsidDel="00000000" w:rsidR="00000000" w:rsidRPr="00000000">
        <w:rPr>
          <w:rtl w:val="0"/>
        </w:rPr>
        <w:t xml:space="preserve">Record agreement status, start/end date, renewal date, commission model/version, authorized service categories, settlement frequency, tax treatment and any financial hold. Expired or suspended agreements should block new activity according to ATCO policy while preserving historical records.</w:t>
      </w:r>
    </w:p>
    <w:p w:rsidR="00000000" w:rsidDel="00000000" w:rsidP="00000000" w:rsidRDefault="00000000" w:rsidRPr="00000000" w14:paraId="00000009">
      <w:pPr>
        <w:pStyle w:val="Heading2"/>
        <w:rPr>
          <w:b w:val="1"/>
          <w:bCs w:val="1"/>
        </w:rPr>
      </w:pPr>
      <w:bookmarkStart w:colFirst="0" w:colLast="0" w:name="_3lbvyohyo8zl" w:id="3"/>
      <w:bookmarkEnd w:id="3"/>
      <w:r w:rsidDel="00000000" w:rsidR="00000000" w:rsidRPr="00000000">
        <w:rPr>
          <w:b w:val="1"/>
          <w:bCs w:val="1"/>
          <w:rtl w:val="0"/>
        </w:rPr>
        <w:t xml:space="preserve">3. Commission and fee model</w:t>
      </w:r>
    </w:p>
    <w:p w:rsidR="00000000" w:rsidDel="00000000" w:rsidP="00000000" w:rsidRDefault="00000000" w:rsidRPr="00000000" w14:paraId="0000000A">
      <w:pPr>
        <w:rPr/>
      </w:pPr>
      <w:r w:rsidDel="00000000" w:rsidR="00000000" w:rsidRPr="00000000">
        <w:rPr>
          <w:rtl w:val="0"/>
        </w:rPr>
        <w:t xml:space="preserve">The client brief allows configurable operating fees, referral commissions, revenue shares or combinations. Do not activate a rule until ATCO approves:</w:t>
      </w:r>
    </w:p>
    <w:p w:rsidR="00000000" w:rsidDel="00000000" w:rsidP="00000000" w:rsidRDefault="00000000" w:rsidRPr="00000000" w14:paraId="0000000B">
      <w:pPr>
        <w:rPr/>
      </w:pPr>
      <w:r w:rsidDel="00000000" w:rsidR="00000000" w:rsidRPr="00000000">
        <w:rPr>
          <w:rtl w:val="0"/>
        </w:rPr>
        <w:t xml:space="preserve">- Commission basis (gross fare, fare excluding tax, eligible net revenue, fixed fee or another defined basis).</w:t>
      </w:r>
    </w:p>
    <w:p w:rsidR="00000000" w:rsidDel="00000000" w:rsidP="00000000" w:rsidRDefault="00000000" w:rsidRPr="00000000" w14:paraId="0000000C">
      <w:pPr>
        <w:rPr/>
      </w:pPr>
      <w:r w:rsidDel="00000000" w:rsidR="00000000" w:rsidRPr="00000000">
        <w:rPr>
          <w:rtl w:val="0"/>
        </w:rPr>
        <w:t xml:space="preserve">- Included/excluded service categories and discounts.</w:t>
      </w:r>
    </w:p>
    <w:p w:rsidR="00000000" w:rsidDel="00000000" w:rsidP="00000000" w:rsidRDefault="00000000" w:rsidRPr="00000000" w14:paraId="0000000D">
      <w:pPr>
        <w:rPr/>
      </w:pPr>
      <w:r w:rsidDel="00000000" w:rsidR="00000000" w:rsidRPr="00000000">
        <w:rPr>
          <w:rtl w:val="0"/>
        </w:rPr>
        <w:t xml:space="preserve">- Treatment of VAT, gateway fees, refunds, chargebacks, no-shows and manual adjustments.</w:t>
      </w:r>
    </w:p>
    <w:p w:rsidR="00000000" w:rsidDel="00000000" w:rsidP="00000000" w:rsidRDefault="00000000" w:rsidRPr="00000000" w14:paraId="0000000E">
      <w:pPr>
        <w:rPr/>
      </w:pPr>
      <w:r w:rsidDel="00000000" w:rsidR="00000000" w:rsidRPr="00000000">
        <w:rPr>
          <w:rtl w:val="0"/>
        </w:rPr>
        <w:t xml:space="preserve">- Rounding, currency and effective dates.</w:t>
      </w:r>
    </w:p>
    <w:p w:rsidR="00000000" w:rsidDel="00000000" w:rsidP="00000000" w:rsidRDefault="00000000" w:rsidRPr="00000000" w14:paraId="0000000F">
      <w:pPr>
        <w:rPr/>
      </w:pPr>
      <w:r w:rsidDel="00000000" w:rsidR="00000000" w:rsidRPr="00000000">
        <w:rPr>
          <w:rtl w:val="0"/>
        </w:rPr>
        <w:t xml:space="preserve">- Settlement period, payout method and minimum payout if any.</w:t>
      </w:r>
    </w:p>
    <w:p w:rsidR="00000000" w:rsidDel="00000000" w:rsidP="00000000" w:rsidRDefault="00000000" w:rsidRPr="00000000" w14:paraId="00000010">
      <w:pPr>
        <w:rPr/>
      </w:pPr>
      <w:r w:rsidDel="00000000" w:rsidR="00000000" w:rsidRPr="00000000">
        <w:rPr>
          <w:rtl w:val="0"/>
        </w:rPr>
        <w:t xml:space="preserve">- Approval roles, financial holds, dispute process and agreement expiry.</w:t>
      </w:r>
    </w:p>
    <w:p w:rsidR="00000000" w:rsidDel="00000000" w:rsidP="00000000" w:rsidRDefault="00000000" w:rsidRPr="00000000" w14:paraId="00000011">
      <w:pPr>
        <w:rPr/>
      </w:pPr>
      <w:r w:rsidDel="00000000" w:rsidR="00000000" w:rsidRPr="00000000">
        <w:rPr>
          <w:rtl w:val="0"/>
        </w:rPr>
        <w:t xml:space="preserve">Store the rule version used by each transaction. Later rule changes should apply only according to the approved effective-date policy; they must not rewrite previously calculated statements without an audited adjustment.</w:t>
      </w:r>
    </w:p>
    <w:p w:rsidR="00000000" w:rsidDel="00000000" w:rsidP="00000000" w:rsidRDefault="00000000" w:rsidRPr="00000000" w14:paraId="00000012">
      <w:pPr>
        <w:pStyle w:val="Heading2"/>
        <w:rPr>
          <w:b w:val="1"/>
          <w:bCs w:val="1"/>
        </w:rPr>
      </w:pPr>
      <w:bookmarkStart w:colFirst="0" w:colLast="0" w:name="_u1s5ooma9utm" w:id="4"/>
      <w:bookmarkEnd w:id="4"/>
      <w:r w:rsidDel="00000000" w:rsidR="00000000" w:rsidRPr="00000000">
        <w:rPr>
          <w:b w:val="1"/>
          <w:bCs w:val="1"/>
          <w:rtl w:val="0"/>
        </w:rPr>
        <w:t xml:space="preserve">4. Settlement statement</w:t>
      </w:r>
    </w:p>
    <w:p w:rsidR="00000000" w:rsidDel="00000000" w:rsidP="00000000" w:rsidRDefault="00000000" w:rsidRPr="00000000" w14:paraId="00000013">
      <w:pPr>
        <w:rPr/>
      </w:pPr>
      <w:r w:rsidDel="00000000" w:rsidR="00000000" w:rsidRPr="00000000">
        <w:rPr>
          <w:rtl w:val="0"/>
        </w:rPr>
        <w:t xml:space="preserve">Each settlement line should be traceable to booking, sailing leg, customer, payment/refund and applicable agreement version. Suggested statement columns: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Period and agent legal entity.</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Booking reference and service/sailing date.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Gross fare and approved material/charter revenue.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Tax amount and basis (as confirmed by Finance).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Gateway fees and other approved deductions.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Refunds, chargebacks and cancellations.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Commission basis, rate/rule version and calculated amount.</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Adjustments, holds, disputes and reason codes.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Net due, settlement status and payout reference.</w:t>
      </w:r>
    </w:p>
    <w:p w:rsidR="00000000" w:rsidDel="00000000" w:rsidP="00000000" w:rsidRDefault="00000000" w:rsidRPr="00000000" w14:paraId="0000001D">
      <w:pPr>
        <w:rPr/>
      </w:pPr>
      <w:r w:rsidDel="00000000" w:rsidR="00000000" w:rsidRPr="00000000">
        <w:rPr>
          <w:rtl w:val="0"/>
        </w:rPr>
        <w:t xml:space="preserve">Provide a statement summary and detailed downloadable lines. Restrict access to the agent's own statements and the fields ATCO approves.</w:t>
      </w:r>
    </w:p>
    <w:p w:rsidR="00000000" w:rsidDel="00000000" w:rsidP="00000000" w:rsidRDefault="00000000" w:rsidRPr="00000000" w14:paraId="0000001E">
      <w:pPr>
        <w:pStyle w:val="Heading2"/>
        <w:rPr>
          <w:b w:val="1"/>
          <w:bCs w:val="1"/>
        </w:rPr>
      </w:pPr>
      <w:bookmarkStart w:colFirst="0" w:colLast="0" w:name="_xcyii3n7to6c" w:id="5"/>
      <w:bookmarkEnd w:id="5"/>
      <w:r w:rsidDel="00000000" w:rsidR="00000000" w:rsidRPr="00000000">
        <w:rPr>
          <w:b w:val="1"/>
          <w:bCs w:val="1"/>
          <w:rtl w:val="0"/>
        </w:rPr>
        <w:t xml:space="preserve">5. Corporate credit controls</w:t>
      </w:r>
    </w:p>
    <w:p w:rsidR="00000000" w:rsidDel="00000000" w:rsidP="00000000" w:rsidRDefault="00000000" w:rsidRPr="00000000" w14:paraId="0000001F">
      <w:pPr>
        <w:rPr/>
      </w:pPr>
      <w:r w:rsidDel="00000000" w:rsidR="00000000" w:rsidRPr="00000000">
        <w:rPr>
          <w:rtl w:val="0"/>
        </w:rPr>
        <w:t xml:space="preserve">For each approved corporate account, record credit limit, payment terms, effective dates, credit owner, overdue thresholds, open exposure and status. Before a credit booking is accepted, apply the ATCO-approved rule for checking available credit and overdue status. If a booking exceeds the limit, either block it or route to an explicitly authorized exception workflow. Never silently bypass the control.</w:t>
      </w:r>
    </w:p>
    <w:p w:rsidR="00000000" w:rsidDel="00000000" w:rsidP="00000000" w:rsidRDefault="00000000" w:rsidRPr="00000000" w14:paraId="00000020">
      <w:pPr>
        <w:rPr/>
      </w:pPr>
      <w:r w:rsidDel="00000000" w:rsidR="00000000" w:rsidRPr="00000000">
        <w:rPr>
          <w:rtl w:val="0"/>
        </w:rPr>
        <w:t xml:space="preserve">ATCO must decide whether credit exposure is reserved at booking creation, operational confirmation, invoice issue or another event; how cancelled/refunded bookings release exposure; how partial payments work; and who may override a hold. Purchase-order fields and required supporting documents must be configurable by customer/contract.</w:t>
      </w:r>
    </w:p>
    <w:p w:rsidR="00000000" w:rsidDel="00000000" w:rsidP="00000000" w:rsidRDefault="00000000" w:rsidRPr="00000000" w14:paraId="00000021">
      <w:pPr>
        <w:pStyle w:val="Heading2"/>
        <w:rPr>
          <w:b w:val="1"/>
          <w:bCs w:val="1"/>
        </w:rPr>
      </w:pPr>
      <w:bookmarkStart w:colFirst="0" w:colLast="0" w:name="_hhbzby2o0jkk" w:id="6"/>
      <w:bookmarkEnd w:id="6"/>
      <w:r w:rsidDel="00000000" w:rsidR="00000000" w:rsidRPr="00000000">
        <w:rPr>
          <w:b w:val="1"/>
          <w:bCs w:val="1"/>
          <w:rtl w:val="0"/>
        </w:rPr>
        <w:t xml:space="preserve">6. Separation of duties and audit</w:t>
      </w:r>
    </w:p>
    <w:p w:rsidR="00000000" w:rsidDel="00000000" w:rsidP="00000000" w:rsidRDefault="00000000" w:rsidRPr="00000000" w14:paraId="00000022">
      <w:pPr>
        <w:rPr/>
      </w:pPr>
      <w:r w:rsidDel="00000000" w:rsidR="00000000" w:rsidRPr="00000000">
        <w:rPr>
          <w:rtl w:val="0"/>
        </w:rPr>
        <w:t xml:space="preserve">Separate permission to create an agent agreement, change commission rules, approve a statement, release a financial hold and record payout. Log every change with actor, old/new values, effective date, reason and approval reference. Finance should be able to reconcile each statement against underlying transactions and provider settlement reports.</w:t>
      </w:r>
    </w:p>
    <w:p w:rsidR="00000000" w:rsidDel="00000000" w:rsidP="00000000" w:rsidRDefault="00000000" w:rsidRPr="00000000" w14:paraId="00000023">
      <w:pPr>
        <w:pStyle w:val="Heading2"/>
        <w:rPr>
          <w:b w:val="1"/>
          <w:bCs w:val="1"/>
        </w:rPr>
      </w:pPr>
      <w:bookmarkStart w:colFirst="0" w:colLast="0" w:name="_7kcq6ikb0s0h" w:id="7"/>
      <w:bookmarkEnd w:id="7"/>
      <w:r w:rsidDel="00000000" w:rsidR="00000000" w:rsidRPr="00000000">
        <w:rPr>
          <w:b w:val="1"/>
          <w:bCs w:val="1"/>
          <w:rtl w:val="0"/>
        </w:rPr>
        <w:t xml:space="preserve">7. Exception handling</w:t>
      </w:r>
    </w:p>
    <w:p w:rsidR="00000000" w:rsidDel="00000000" w:rsidP="00000000" w:rsidRDefault="00000000" w:rsidRPr="00000000" w14:paraId="00000024">
      <w:pPr>
        <w:rPr/>
      </w:pPr>
      <w:r w:rsidDel="00000000" w:rsidR="00000000" w:rsidRPr="00000000">
        <w:rPr>
          <w:rtl w:val="0"/>
        </w:rPr>
        <w:t xml:space="preserve">Required queues include: expired agreement, missing commission rule, negative net due, refund after commission accrual, chargeback, duplicate settlement line, disputed transaction, credit limit exceeded, overdue account, failed payout and unmatched provider transaction. Each exception should have an owner, status, notes and resolution evidence. Do not delete exceptions to make reports appear balanced.</w:t>
      </w:r>
    </w:p>
    <w:p w:rsidR="00000000" w:rsidDel="00000000" w:rsidP="00000000" w:rsidRDefault="00000000" w:rsidRPr="00000000" w14:paraId="00000025">
      <w:pPr>
        <w:pStyle w:val="Heading2"/>
        <w:rPr>
          <w:b w:val="1"/>
          <w:bCs w:val="1"/>
        </w:rPr>
      </w:pPr>
      <w:bookmarkStart w:colFirst="0" w:colLast="0" w:name="_veexf7nb14ek" w:id="8"/>
      <w:bookmarkEnd w:id="8"/>
      <w:r w:rsidDel="00000000" w:rsidR="00000000" w:rsidRPr="00000000">
        <w:rPr>
          <w:b w:val="1"/>
          <w:bCs w:val="1"/>
          <w:rtl w:val="0"/>
        </w:rPr>
        <w:t xml:space="preserve">8. ATCO decisions required</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Agent legal/verification documents and who approves them.</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Agent-to-client assignment rules and ability to reassign.</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Commission basis, rate, tax treatment and eligible services.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Settlement frequency, payout currency/method and approval workflow.</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Handling of refunds/chargebacks after agent payment.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Corporate credit limits, terms, overdue triggers and override roles.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Purchase-order requirements and credit exposure timing.</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Financial report access, export fields and audit retention.</w:t>
      </w:r>
    </w:p>
    <w:p w:rsidR="00000000" w:rsidDel="00000000" w:rsidP="00000000" w:rsidRDefault="00000000" w:rsidRPr="00000000" w14:paraId="0000002E">
      <w:pPr>
        <w:rPr/>
      </w:pPr>
      <w:r w:rsidDel="00000000" w:rsidR="00000000" w:rsidRPr="00000000">
        <w:rPr>
          <w:rtl w:val="0"/>
        </w:rPr>
        <w:t xml:space="preserve">No rate, credit limit or settlement schedule is provided by the client brief. All must remain unconfigured until ATCO authorizes them.</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