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tw7yv6q3vs" w:id="0"/>
      <w:bookmarkEnd w:id="0"/>
      <w:r w:rsidDel="00000000" w:rsidR="00000000" w:rsidRPr="00000000">
        <w:rPr>
          <w:b w:val="1"/>
          <w:bCs w:val="1"/>
          <w:rtl w:val="0"/>
        </w:rPr>
        <w:t xml:space="preserve">Future ERP, CRM and Accounting Integration Decision Framework</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Discovery framework only. ATCO has not identified a specific target system in the available brief.</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e7gxr1snxjfh" w:id="1"/>
      <w:bookmarkEnd w:id="1"/>
      <w:r w:rsidDel="00000000" w:rsidR="00000000" w:rsidRPr="00000000">
        <w:rPr>
          <w:b w:val="1"/>
          <w:bCs w:val="1"/>
          <w:rtl w:val="0"/>
        </w:rPr>
        <w:t xml:space="preserve">1. Purpose</w:t>
      </w:r>
    </w:p>
    <w:p w:rsidR="00000000" w:rsidDel="00000000" w:rsidP="00000000" w:rsidRDefault="00000000" w:rsidRPr="00000000" w14:paraId="00000005">
      <w:pPr>
        <w:rPr/>
      </w:pPr>
      <w:r w:rsidDel="00000000" w:rsidR="00000000" w:rsidRPr="00000000">
        <w:rPr>
          <w:rtl w:val="0"/>
        </w:rPr>
        <w:t xml:space="preserve">The client brief requires bookings, invoices, payment reconciliation, agent fees/settlements, corporate purchase-order references and reporting. It does not name an ERP, CRM, accounting package, customer master system or port/permit API. Therefore, the first release should provide controlled exports and stable internal IDs, while keeping an integration path open. Do not promise a named integration until ATCO confirms the product/version, data owner and interface.</w:t>
      </w:r>
    </w:p>
    <w:p w:rsidR="00000000" w:rsidDel="00000000" w:rsidP="00000000" w:rsidRDefault="00000000" w:rsidRPr="00000000" w14:paraId="00000006">
      <w:pPr>
        <w:pStyle w:val="Heading2"/>
        <w:rPr>
          <w:b w:val="1"/>
          <w:bCs w:val="1"/>
        </w:rPr>
      </w:pPr>
      <w:bookmarkStart w:colFirst="0" w:colLast="0" w:name="_58qub9dnwzla" w:id="2"/>
      <w:bookmarkEnd w:id="2"/>
      <w:r w:rsidDel="00000000" w:rsidR="00000000" w:rsidRPr="00000000">
        <w:rPr>
          <w:b w:val="1"/>
          <w:bCs w:val="1"/>
          <w:rtl w:val="0"/>
        </w:rPr>
        <w:t xml:space="preserve">2. Discovery questions for ATCO IT and Finance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Which accounting/ERP system is used, including product, version, hosting model and owner?</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Which system is authoritative for customer/company, supplier/agent, invoice number, tax data, payment settlement and general-ledger postings?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Is there a supported API, event interface, SFTP import/export, or approved integration platform?</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Who can provide vendor documentation, test environment and credentials?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Which objects need to synchronize: organizations, purchase orders, invoices, credit notes, payments, refunds, agent settlements, chart-of-accounts codes or tax codes?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Which system creates the invoice number and controls tax/e-invoicing?</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What is the synchronization frequency and acceptable delay?</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How are corrections, duplicates, partial failures and reconciliation exceptions handled?</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What data can be transferred, where may it be processed, and which retention/access rules apply?</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Who owns support and changes on each side?</w:t>
      </w:r>
    </w:p>
    <w:p w:rsidR="00000000" w:rsidDel="00000000" w:rsidP="00000000" w:rsidRDefault="00000000" w:rsidRPr="00000000" w14:paraId="00000011">
      <w:pPr>
        <w:pStyle w:val="Heading2"/>
        <w:rPr>
          <w:b w:val="1"/>
          <w:bCs w:val="1"/>
        </w:rPr>
      </w:pPr>
      <w:bookmarkStart w:colFirst="0" w:colLast="0" w:name="_xtyrqsa5x0hd" w:id="3"/>
      <w:bookmarkEnd w:id="3"/>
      <w:r w:rsidDel="00000000" w:rsidR="00000000" w:rsidRPr="00000000">
        <w:rPr>
          <w:b w:val="1"/>
          <w:bCs w:val="1"/>
          <w:rtl w:val="0"/>
        </w:rPr>
        <w:t xml:space="preserve">3. Recommended integration patterns</w:t>
      </w:r>
    </w:p>
    <w:p w:rsidR="00000000" w:rsidDel="00000000" w:rsidP="00000000" w:rsidRDefault="00000000" w:rsidRPr="00000000" w14:paraId="00000012">
      <w:pPr>
        <w:rPr/>
      </w:pPr>
      <w:r w:rsidDel="00000000" w:rsidR="00000000" w:rsidRPr="00000000">
        <w:rPr>
          <w:rtl w:val="0"/>
        </w:rPr>
        <w:t xml:space="preserve">Prefer a documented, versioned API where both systems support it. If not, use a controlled file exchange with fixed schema, validation, checksums, acknowledgement and reconciliation. Avoid screen scraping or undocumented database access for financial systems. Use an integration adapter so business logic does not depend directly on a single ERP/CRM vendor.</w:t>
      </w:r>
    </w:p>
    <w:p w:rsidR="00000000" w:rsidDel="00000000" w:rsidP="00000000" w:rsidRDefault="00000000" w:rsidRPr="00000000" w14:paraId="00000013">
      <w:pPr>
        <w:rPr/>
      </w:pPr>
      <w:r w:rsidDel="00000000" w:rsidR="00000000" w:rsidRPr="00000000">
        <w:rPr>
          <w:rtl w:val="0"/>
        </w:rPr>
        <w:t xml:space="preserve">Every transferred record should have a stable Gulf Mover ID and, once assigned, the external-system ID. Include source system, event timestamp, schema/version and correlation ID. Never use customer name alone as a matching key.</w:t>
      </w:r>
    </w:p>
    <w:p w:rsidR="00000000" w:rsidDel="00000000" w:rsidP="00000000" w:rsidRDefault="00000000" w:rsidRPr="00000000" w14:paraId="00000014">
      <w:pPr>
        <w:pStyle w:val="Heading2"/>
        <w:rPr>
          <w:b w:val="1"/>
          <w:bCs w:val="1"/>
        </w:rPr>
      </w:pPr>
      <w:bookmarkStart w:colFirst="0" w:colLast="0" w:name="_bpbryy2z7jgg" w:id="4"/>
      <w:bookmarkEnd w:id="4"/>
      <w:r w:rsidDel="00000000" w:rsidR="00000000" w:rsidRPr="00000000">
        <w:rPr>
          <w:b w:val="1"/>
          <w:bCs w:val="1"/>
          <w:rtl w:val="0"/>
        </w:rPr>
        <w:t xml:space="preserve">4. Initial export package (if ATCO approves)</w:t>
      </w:r>
    </w:p>
    <w:p w:rsidR="00000000" w:rsidDel="00000000" w:rsidP="00000000" w:rsidRDefault="00000000" w:rsidRPr="00000000" w14:paraId="00000015">
      <w:pPr>
        <w:rPr/>
      </w:pPr>
      <w:r w:rsidDel="00000000" w:rsidR="00000000" w:rsidRPr="00000000">
        <w:rPr>
          <w:rtl w:val="0"/>
        </w:rPr>
        <w:t xml:space="preserve">A launch-ready interim package could include role-restricted CSV/PDF exports for booking summary, invoice/credit-note register, payment/refund reconciliation, agent settlement statements and operational trip reports. Define a schema, time zone, currency, tax fields, filters, access permissions and file retention. Finance must approve calculations before the export is treated as an accounting record.</w:t>
      </w:r>
    </w:p>
    <w:p w:rsidR="00000000" w:rsidDel="00000000" w:rsidP="00000000" w:rsidRDefault="00000000" w:rsidRPr="00000000" w14:paraId="00000016">
      <w:pPr>
        <w:pStyle w:val="Heading2"/>
        <w:rPr>
          <w:b w:val="1"/>
          <w:bCs w:val="1"/>
        </w:rPr>
      </w:pPr>
      <w:bookmarkStart w:colFirst="0" w:colLast="0" w:name="_e158k6f9620z" w:id="5"/>
      <w:bookmarkEnd w:id="5"/>
      <w:r w:rsidDel="00000000" w:rsidR="00000000" w:rsidRPr="00000000">
        <w:rPr>
          <w:b w:val="1"/>
          <w:bCs w:val="1"/>
          <w:rtl w:val="0"/>
        </w:rPr>
        <w:t xml:space="preserve">5. Suggested data ownership matrix</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object</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Proposed system of record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Must be confirmed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Customer/company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ATCO-selected CRM/ERP or Gulf Mover initially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 IT/Business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and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Gulf Mover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Sailing schedule/operational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ATCO operations source; platform records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 Operations / vessel Master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transaction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provider status reconciled into Gulf Mover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Invoice number and tax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ATCO-selected invoicing/accounting solution or approved platform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 Finance/Tax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 agreement/commission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ATCO-approved commercial/finance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 Finance/Procurement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Competent authority/ATCO-approved source; manual evidence until integration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 Operations/Compliance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identity and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identity source plus platform membership/roles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ATCO IT/Security</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matrix is a proposal for discovery, not a statement of ATCO's existing systems.</w:t>
      </w:r>
    </w:p>
    <w:p w:rsidR="00000000" w:rsidDel="00000000" w:rsidP="00000000" w:rsidRDefault="00000000" w:rsidRPr="00000000" w14:paraId="00000036">
      <w:pPr>
        <w:pStyle w:val="Heading2"/>
        <w:rPr>
          <w:b w:val="1"/>
          <w:bCs w:val="1"/>
        </w:rPr>
      </w:pPr>
      <w:bookmarkStart w:colFirst="0" w:colLast="0" w:name="_hy21pxpij47z" w:id="6"/>
      <w:bookmarkEnd w:id="6"/>
      <w:r w:rsidDel="00000000" w:rsidR="00000000" w:rsidRPr="00000000">
        <w:rPr>
          <w:b w:val="1"/>
          <w:bCs w:val="1"/>
          <w:rtl w:val="0"/>
        </w:rPr>
        <w:t xml:space="preserve">6. Integration acceptance tests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Required records map without loss of currency, tax, identifiers or timestamps.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Replayed messages/files do not create duplicate invoices, payments or settlement lines.</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Rejected/invalid records appear in an exception queue with a clear reason.</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Reconciliation reports show source total, target total and variance.</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Access credentials are restricted, stored securely and rotatable.</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A failed sync can be retried safely and audited.</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Data export/deletion/retention behavior matches the approved contract and applicable privacy rules.</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ATCO Finance signs off on representative reconciled test records before production.</w:t>
      </w:r>
    </w:p>
    <w:p w:rsidR="00000000" w:rsidDel="00000000" w:rsidP="00000000" w:rsidRDefault="00000000" w:rsidRPr="00000000" w14:paraId="0000003F">
      <w:pPr>
        <w:pStyle w:val="Heading2"/>
        <w:rPr>
          <w:b w:val="1"/>
          <w:bCs w:val="1"/>
        </w:rPr>
      </w:pPr>
      <w:bookmarkStart w:colFirst="0" w:colLast="0" w:name="_zd5b6k43oi60" w:id="7"/>
      <w:bookmarkEnd w:id="7"/>
      <w:r w:rsidDel="00000000" w:rsidR="00000000" w:rsidRPr="00000000">
        <w:rPr>
          <w:b w:val="1"/>
          <w:bCs w:val="1"/>
          <w:rtl w:val="0"/>
        </w:rPr>
        <w:t xml:space="preserve">7. E-invoicing dependency</w:t>
      </w:r>
    </w:p>
    <w:p w:rsidR="00000000" w:rsidDel="00000000" w:rsidP="00000000" w:rsidRDefault="00000000" w:rsidRPr="00000000" w14:paraId="00000040">
      <w:pPr>
        <w:rPr/>
      </w:pPr>
      <w:r w:rsidDel="00000000" w:rsidR="00000000" w:rsidRPr="00000000">
        <w:rPr>
          <w:rtl w:val="0"/>
        </w:rPr>
        <w:t xml:space="preserve">ZATCA implements e-invoicing in two phases, with Phase 2 integration introduced in waves for targeted taxpayers. ATCO Finance must determine whether and when the relevant legal entity is subject to integration and whether its existing invoicing provider already handles this. Do not make Gulf Mover the tax-invoice system of record by default.</w:t>
      </w:r>
    </w:p>
    <w:p w:rsidR="00000000" w:rsidDel="00000000" w:rsidP="00000000" w:rsidRDefault="00000000" w:rsidRPr="00000000" w14:paraId="00000041">
      <w:pPr>
        <w:rPr/>
      </w:pPr>
      <w:r w:rsidDel="00000000" w:rsidR="00000000" w:rsidRPr="00000000">
        <w:rPr>
          <w:rtl w:val="0"/>
        </w:rPr>
        <w:t xml:space="preserve">Official sources: https://zatca.gov.sa/en/E-Invoicing/Pages/default.aspx ; https://zatca.gov.sa/en/E-Invoicing/Introduction/Pages/Roll-out-phases.aspx</w:t>
      </w:r>
    </w:p>
    <w:p w:rsidR="00000000" w:rsidDel="00000000" w:rsidP="00000000" w:rsidRDefault="00000000" w:rsidRPr="00000000" w14:paraId="00000042">
      <w:pPr>
        <w:pStyle w:val="Heading2"/>
        <w:rPr>
          <w:b w:val="1"/>
          <w:bCs w:val="1"/>
        </w:rPr>
      </w:pPr>
      <w:bookmarkStart w:colFirst="0" w:colLast="0" w:name="_sjr7dio87jdb" w:id="8"/>
      <w:bookmarkEnd w:id="8"/>
      <w:r w:rsidDel="00000000" w:rsidR="00000000" w:rsidRPr="00000000">
        <w:rPr>
          <w:b w:val="1"/>
          <w:bCs w:val="1"/>
          <w:rtl w:val="0"/>
        </w:rPr>
        <w:t xml:space="preserve">8. Scope and commercial treatment</w:t>
      </w:r>
    </w:p>
    <w:p w:rsidR="00000000" w:rsidDel="00000000" w:rsidP="00000000" w:rsidRDefault="00000000" w:rsidRPr="00000000" w14:paraId="00000043">
      <w:pPr>
        <w:rPr/>
      </w:pPr>
      <w:r w:rsidDel="00000000" w:rsidR="00000000" w:rsidRPr="00000000">
        <w:rPr>
          <w:rtl w:val="0"/>
        </w:rPr>
        <w:t xml:space="preserve">Treat ERP/CRM/accounting integrations as conditional scope until the target system and requirements are confirmed. Price discovery, API integration, mapping, test-environment work, vendor fees, data migration, reconciliation, monitoring and ongoing maintenance separately. If no integration is approved for launch, state the export-based interim workflow and its limitations in the proposal.</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