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7k1um9sgrrwy" w:id="0"/>
      <w:bookmarkEnd w:id="0"/>
      <w:r w:rsidDel="00000000" w:rsidR="00000000" w:rsidRPr="00000000">
        <w:rPr>
          <w:b w:val="1"/>
          <w:bCs w:val="1"/>
          <w:rtl w:val="0"/>
        </w:rPr>
        <w:t xml:space="preserve">Integration and Vendor Evaluation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Vendor-neutral shortlist framework. No supplier is selected or endorsed by this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p9p33umyyy42" w:id="1"/>
      <w:bookmarkEnd w:id="1"/>
      <w:r w:rsidDel="00000000" w:rsidR="00000000" w:rsidRPr="00000000">
        <w:rPr>
          <w:b w:val="1"/>
          <w:bCs w:val="1"/>
          <w:rtl w:val="0"/>
        </w:rPr>
        <w:t xml:space="preserve">1. Evaluation principle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Choose providers only after confirming Saudi merchant eligibility, data location, contractual terms, integration documentation, fees and support. Vendor websites and public feature pages are not a substitute for written quotes, onboarding confirmation or legal/security review. ATCO should own the production accounts wherever practical so it retains control of billing, credentials and service continuity.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penvtom2mvh6" w:id="2"/>
      <w:bookmarkEnd w:id="2"/>
      <w:r w:rsidDel="00000000" w:rsidR="00000000" w:rsidRPr="00000000">
        <w:rPr>
          <w:b w:val="1"/>
          <w:bCs w:val="1"/>
          <w:rtl w:val="0"/>
        </w:rPr>
        <w:t xml:space="preserve">2. Integration inventory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requirement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to obtain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/ decision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mada, Visa, Mastercard, Apple Pay where available; hosted checkout/tokenization; signed webhooks; refunds; reconciliation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quote, Saudi onboarding eligibility, API docs, fee schedule, test account, settlement and dispute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Finance/Procurement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bilingual messages and delivery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Sender/domain setup, API docs, deliverability, data-processing terms,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IT/Communications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delivery and sender-ID registration where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Coverage, sender approval, per-message price, delivery reports,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Operations/Procurement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Business (optional/approved)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templates, opt-in and delivery statuses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Business-account ownership, template rules, conversation/message fees, provider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Communications/Legal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Hosting/database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region, encryption, backups, monitoring and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confirmation, SLA, security docs, data processing terms, export/termination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storage for material evidence, photos and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controls, encryption, retention/deletion, upload limits and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E-invoicing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applicable ZATCA requirements if confirmed by 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Applicability decision, technical specification, supplier compliance evidence, sandbox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Finance/Tax advisor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ERP/accounting/CRM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if ATCO names the system and required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Product/version, API documentation, test environment, data ownership and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Port/permit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if ATCO identifies an official supported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owner approval, API docs, authorization, permitted data fields,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scanning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Camera-based scanning and controlled manual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list, OS/browser support, offline need, test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Operations/IT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Analytics/monitoring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and technical alerts without unnecessary personal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fields, access, retention, region and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IT/Security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</w:rPr>
      </w:pPr>
      <w:bookmarkStart w:colFirst="0" w:colLast="0" w:name="_zcyr8k7ff73w" w:id="3"/>
      <w:bookmarkEnd w:id="3"/>
      <w:r w:rsidDel="00000000" w:rsidR="00000000" w:rsidRPr="00000000">
        <w:rPr>
          <w:b w:val="1"/>
          <w:bCs w:val="1"/>
          <w:rtl w:val="0"/>
        </w:rPr>
        <w:t xml:space="preserve">3. Payment gateway due diligence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Ask each candidate to answer: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Can it onboard the exact Saudi legal entity and settle into ATCO's approved bank account?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Which methods are supported for that merchant, not just generally advertised?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Is hosted checkout available? How are tokens and 3-D Secure handled?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Are payment intents, webhook signatures, idempotency, partial refunds and refund status available?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What are setup, monthly, transaction, refund, chargeback, currency-conversion and settlement fees?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What are settlement timing, rolling reserve, dispute process and reconciliation export formats?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What PCI DSS obligations remain with ATCO and the software provider?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Where is transaction/personal data processed and stored? What subprocessors are used?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Is there a sandbox, test cards and test webhook facility? What is the support SLA?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What happens to tokens, records and refunds if the contract terminates?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SAMA describes mada e-commerce and 3-D Secure: https://www.sama.gov.sa/en-US/payment/Pages/mada.aspx. SAMA announced a national e-commerce payments interface in July 2025: https://www.sama.gov.sa/en-US/MediaCenter/News/pages/news-1095.aspx. These sources establish context, not a recommendation of a specific gateway.</w:t>
      </w:r>
    </w:p>
    <w:p w:rsidR="00000000" w:rsidDel="00000000" w:rsidP="00000000" w:rsidRDefault="00000000" w:rsidRPr="00000000" w14:paraId="00000047">
      <w:pPr>
        <w:pStyle w:val="Heading2"/>
        <w:rPr>
          <w:b w:val="1"/>
          <w:bCs w:val="1"/>
        </w:rPr>
      </w:pPr>
      <w:bookmarkStart w:colFirst="0" w:colLast="0" w:name="_zi1yrborzhxe" w:id="4"/>
      <w:bookmarkEnd w:id="4"/>
      <w:r w:rsidDel="00000000" w:rsidR="00000000" w:rsidRPr="00000000">
        <w:rPr>
          <w:b w:val="1"/>
          <w:bCs w:val="1"/>
          <w:rtl w:val="0"/>
        </w:rPr>
        <w:t xml:space="preserve">4. Supplier scoring template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Score each candidate 1–5, then apply weights approved by ATCO: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Saudi legal/merchant eligibility and local payment methods: 20%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Security, privacy, data-location and contractual controls: 20%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API/webhook maturity and test environment: 15%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Reliability, support and incident handling: 15%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Total three-year cost and fee transparency: 15%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Refund, settlement and reconciliation capabilities: 10%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Exit/export portability and account ownership: 5%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candidate that fails a mandatory legal, security, merchant eligibility or data-location requirement should be disqualified regardless of weighted score.</w:t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ecvmxwevgweh" w:id="5"/>
      <w:bookmarkEnd w:id="5"/>
      <w:r w:rsidDel="00000000" w:rsidR="00000000" w:rsidRPr="00000000">
        <w:rPr>
          <w:b w:val="1"/>
          <w:bCs w:val="1"/>
          <w:rtl w:val="0"/>
        </w:rPr>
        <w:t xml:space="preserve">5. Procurement status register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Provider/service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requested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 received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Security/legal review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Hosting/database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Optional; not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E-invoicing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ATCO Finance determination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ERP/CRM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 until ATCO identifies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Port/permit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system/API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b w:val="1"/>
          <w:bCs w:val="1"/>
        </w:rPr>
      </w:pPr>
      <w:bookmarkStart w:colFirst="0" w:colLast="0" w:name="_vpkxyehrj5a0" w:id="6"/>
      <w:bookmarkEnd w:id="6"/>
      <w:r w:rsidDel="00000000" w:rsidR="00000000" w:rsidRPr="00000000">
        <w:rPr>
          <w:b w:val="1"/>
          <w:bCs w:val="1"/>
          <w:rtl w:val="0"/>
        </w:rPr>
        <w:t xml:space="preserve">6. Account ownership and offboarding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Production domain, payment merchant account, messaging accounts, hosting, cloud organization, source-code repository, app-store accounts and monitoring should be owned by ATCO or explicitly assigned under contract. Use named administrators, MFA and a secure credential handover. Contracts must define data export, configuration export, source-code handover, termination assistance, deletion certification and treatment of open refunds or unsettled transactions.</w:t>
      </w:r>
    </w:p>
    <w:p w:rsidR="00000000" w:rsidDel="00000000" w:rsidP="00000000" w:rsidRDefault="00000000" w:rsidRPr="00000000" w14:paraId="0000008D">
      <w:pPr>
        <w:pStyle w:val="Heading2"/>
        <w:rPr>
          <w:b w:val="1"/>
          <w:bCs w:val="1"/>
        </w:rPr>
      </w:pPr>
      <w:bookmarkStart w:colFirst="0" w:colLast="0" w:name="_m6lo8qegewr" w:id="7"/>
      <w:bookmarkEnd w:id="7"/>
      <w:r w:rsidDel="00000000" w:rsidR="00000000" w:rsidRPr="00000000">
        <w:rPr>
          <w:b w:val="1"/>
          <w:bCs w:val="1"/>
          <w:rtl w:val="0"/>
        </w:rPr>
        <w:t xml:space="preserve">7. ZATCA integration decision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 not add a Fatoora integration merely because e-invoicing exists. ATCO Finance must determine whether the entity and invoice types are in scope, whether it has been notified for Phase 2, and whether the selected accounting/invoicing solution already handles requirements. ZATCA describes Phase 2 as a wave-based integration process: https://zatca.gov.sa/en/E-Invoicing/Pages/default.aspx and https://zatca.gov.sa/en/MediaCenter/News/Pages/Wave25-E-invoicing.aspx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