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vhys7epzr0b4" w:id="0"/>
      <w:bookmarkEnd w:id="0"/>
      <w:r w:rsidDel="00000000" w:rsidR="00000000" w:rsidRPr="00000000">
        <w:rPr>
          <w:b w:val="1"/>
          <w:bCs w:val="1"/>
          <w:rtl w:val="0"/>
        </w:rPr>
        <w:t xml:space="preserve">Saudi Regulatory and Ras Tanura Port Research</w:t>
      </w:r>
    </w:p>
    <w:p w:rsidR="00000000" w:rsidDel="00000000" w:rsidP="00000000" w:rsidRDefault="00000000" w:rsidRPr="00000000" w14:paraId="00000002">
      <w:pPr>
        <w:rPr/>
      </w:pPr>
      <w:r w:rsidDel="00000000" w:rsidR="00000000" w:rsidRPr="00000000">
        <w:rPr>
          <w:b w:val="1"/>
          <w:bCs w:val="1"/>
          <w:rtl w:val="0"/>
        </w:rPr>
        <w:t xml:space="preserve">Project:</w:t>
      </w:r>
      <w:r w:rsidDel="00000000" w:rsidR="00000000" w:rsidRPr="00000000">
        <w:rPr>
          <w:rtl w:val="0"/>
        </w:rPr>
        <w:t xml:space="preserve"> Gulf Mover Marine Taxi Platform, Ras Tanura, Saudi Arabia</w:t>
      </w:r>
    </w:p>
    <w:p w:rsidR="00000000" w:rsidDel="00000000" w:rsidP="00000000" w:rsidRDefault="00000000" w:rsidRPr="00000000" w14:paraId="00000003">
      <w:pPr>
        <w:rPr/>
      </w:pPr>
      <w:r w:rsidDel="00000000" w:rsidR="00000000" w:rsidRPr="00000000">
        <w:rPr>
          <w:b w:val="1"/>
          <w:bCs w:val="1"/>
          <w:rtl w:val="0"/>
        </w:rPr>
        <w:t xml:space="preserve">Status:</w:t>
      </w:r>
      <w:r w:rsidDel="00000000" w:rsidR="00000000" w:rsidRPr="00000000">
        <w:rPr>
          <w:rtl w:val="0"/>
        </w:rPr>
        <w:t xml:space="preserve"> Research draft for ATCO validation — not legal advice and not evidence of approval</w:t>
      </w:r>
    </w:p>
    <w:p w:rsidR="00000000" w:rsidDel="00000000" w:rsidP="00000000" w:rsidRDefault="00000000" w:rsidRPr="00000000" w14:paraId="00000004">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5">
      <w:pPr>
        <w:pStyle w:val="Heading2"/>
        <w:rPr>
          <w:b w:val="1"/>
          <w:bCs w:val="1"/>
        </w:rPr>
      </w:pPr>
      <w:bookmarkStart w:colFirst="0" w:colLast="0" w:name="_jiwgp8skx2fo" w:id="1"/>
      <w:bookmarkEnd w:id="1"/>
      <w:r w:rsidDel="00000000" w:rsidR="00000000" w:rsidRPr="00000000">
        <w:rPr>
          <w:b w:val="1"/>
          <w:bCs w:val="1"/>
          <w:rtl w:val="0"/>
        </w:rPr>
        <w:t xml:space="preserve">1. Executive findings</w:t>
      </w:r>
    </w:p>
    <w:p w:rsidR="00000000" w:rsidDel="00000000" w:rsidP="00000000" w:rsidRDefault="00000000" w:rsidRPr="00000000" w14:paraId="00000006">
      <w:pPr>
        <w:rPr/>
      </w:pPr>
      <w:r w:rsidDel="00000000" w:rsidR="00000000" w:rsidRPr="00000000">
        <w:rPr>
          <w:rtl w:val="0"/>
        </w:rPr>
        <w:t xml:space="preserve">The platform must be designed around the fact that digital booking and payment are administrative steps, not permission to enter a controlled port or permission for a vessel to sail. ATCO Operations, the vessel Master, port/terminal authorities and relevant regulators retain their real-world decision rights. The software should record decisions and enforce workflow gates; it must not attempt to replace operational authority.</w:t>
      </w:r>
    </w:p>
    <w:p w:rsidR="00000000" w:rsidDel="00000000" w:rsidP="00000000" w:rsidRDefault="00000000" w:rsidRPr="00000000" w14:paraId="00000007">
      <w:pPr>
        <w:rPr/>
      </w:pPr>
      <w:r w:rsidDel="00000000" w:rsidR="00000000" w:rsidRPr="00000000">
        <w:rPr>
          <w:rtl w:val="0"/>
        </w:rPr>
        <w:t xml:space="preserve">The most directly relevant public sources identified are Saudi Aramco's 2025 Ports and Terminals guide, Transport General Authority (TGA) material on marine-unit operating licences and marine passenger ticket sales, SDAIA's Personal Data Protection Law resources, SAMA's payment-system information, and ZATCA's e-invoicing material. The exact legal and contractual applicability to ATCO's service must be confirmed by ATCO Legal/Compliance and the competent authority before launch.</w:t>
      </w:r>
    </w:p>
    <w:p w:rsidR="00000000" w:rsidDel="00000000" w:rsidP="00000000" w:rsidRDefault="00000000" w:rsidRPr="00000000" w14:paraId="00000008">
      <w:pPr>
        <w:pStyle w:val="Heading2"/>
        <w:rPr>
          <w:b w:val="1"/>
          <w:bCs w:val="1"/>
        </w:rPr>
      </w:pPr>
      <w:bookmarkStart w:colFirst="0" w:colLast="0" w:name="_l7u45qa6rius" w:id="2"/>
      <w:bookmarkEnd w:id="2"/>
      <w:r w:rsidDel="00000000" w:rsidR="00000000" w:rsidRPr="00000000">
        <w:rPr>
          <w:b w:val="1"/>
          <w:bCs w:val="1"/>
          <w:rtl w:val="0"/>
        </w:rPr>
        <w:t xml:space="preserve">2. Port and terminal controls</w:t>
      </w:r>
    </w:p>
    <w:p w:rsidR="00000000" w:rsidDel="00000000" w:rsidP="00000000" w:rsidRDefault="00000000" w:rsidRPr="00000000" w14:paraId="00000009">
      <w:pPr>
        <w:rPr/>
      </w:pPr>
      <w:r w:rsidDel="00000000" w:rsidR="00000000" w:rsidRPr="00000000">
        <w:rPr>
          <w:rtl w:val="0"/>
        </w:rPr>
        <w:t xml:space="preserve">Saudi Aramco publishes a 2025 Ports and Terminals guide described as a reference for vessel owners, charterers, masters and others, covering general conditions, rules, regulations, facilities and services at its Saudi terminals. It includes dedicated material for Ras Tanura North Pier and Sea Island terminals and separate Ras Tanura Juaymah terminal sections.</w:t>
      </w:r>
    </w:p>
    <w:p w:rsidR="00000000" w:rsidDel="00000000" w:rsidP="00000000" w:rsidRDefault="00000000" w:rsidRPr="00000000" w14:paraId="0000000A">
      <w:pPr>
        <w:rPr>
          <w:b w:val="1"/>
          <w:bCs w:val="1"/>
        </w:rPr>
      </w:pPr>
      <w:r w:rsidDel="00000000" w:rsidR="00000000" w:rsidRPr="00000000">
        <w:rPr>
          <w:b w:val="1"/>
          <w:bCs w:val="1"/>
          <w:rtl w:val="0"/>
        </w:rPr>
        <w:t xml:space="preserve">Design implications:</w:t>
      </w:r>
    </w:p>
    <w:p w:rsidR="00000000" w:rsidDel="00000000" w:rsidP="00000000" w:rsidRDefault="00000000" w:rsidRPr="00000000" w14:paraId="0000000B">
      <w:pPr>
        <w:rPr/>
      </w:pPr>
      <w:r w:rsidDel="00000000" w:rsidR="00000000" w:rsidRPr="00000000">
        <w:rPr>
          <w:rtl w:val="0"/>
        </w:rPr>
        <w:t xml:space="preserve">- Model destinations as an ATCO-maintained approved list, not free text that automatically authorizes a trip.</w:t>
      </w:r>
    </w:p>
    <w:p w:rsidR="00000000" w:rsidDel="00000000" w:rsidP="00000000" w:rsidRDefault="00000000" w:rsidRPr="00000000" w14:paraId="0000000C">
      <w:pPr>
        <w:rPr/>
      </w:pPr>
      <w:r w:rsidDel="00000000" w:rsidR="00000000" w:rsidRPr="00000000">
        <w:rPr>
          <w:rtl w:val="0"/>
        </w:rPr>
        <w:t xml:space="preserve">- Record destination/vessel details, including IMO number where applicable, and relevant permit/clearance status.</w:t>
      </w:r>
    </w:p>
    <w:p w:rsidR="00000000" w:rsidDel="00000000" w:rsidP="00000000" w:rsidRDefault="00000000" w:rsidRPr="00000000" w14:paraId="0000000D">
      <w:pPr>
        <w:rPr/>
      </w:pPr>
      <w:r w:rsidDel="00000000" w:rsidR="00000000" w:rsidRPr="00000000">
        <w:rPr>
          <w:rtl w:val="0"/>
        </w:rPr>
        <w:t xml:space="preserve">- Make operational readiness a separate state from booking/payment status.</w:t>
      </w:r>
    </w:p>
    <w:p w:rsidR="00000000" w:rsidDel="00000000" w:rsidP="00000000" w:rsidRDefault="00000000" w:rsidRPr="00000000" w14:paraId="0000000E">
      <w:pPr>
        <w:rPr/>
      </w:pPr>
      <w:r w:rsidDel="00000000" w:rsidR="00000000" w:rsidRPr="00000000">
        <w:rPr>
          <w:rtl w:val="0"/>
        </w:rPr>
        <w:t xml:space="preserve">- Provide authorized roles to suspend or amend sailings and record reason, approver, timestamp and relevant evidence.</w:t>
      </w:r>
    </w:p>
    <w:p w:rsidR="00000000" w:rsidDel="00000000" w:rsidP="00000000" w:rsidRDefault="00000000" w:rsidRPr="00000000" w14:paraId="0000000F">
      <w:pPr>
        <w:rPr/>
      </w:pPr>
      <w:r w:rsidDel="00000000" w:rsidR="00000000" w:rsidRPr="00000000">
        <w:rPr>
          <w:rtl w:val="0"/>
        </w:rPr>
        <w:t xml:space="preserve">- Preserve manifests and a time-stamped record of boarding decisions and operational changes.</w:t>
      </w:r>
    </w:p>
    <w:p w:rsidR="00000000" w:rsidDel="00000000" w:rsidP="00000000" w:rsidRDefault="00000000" w:rsidRPr="00000000" w14:paraId="00000010">
      <w:pPr>
        <w:rPr/>
      </w:pPr>
      <w:r w:rsidDel="00000000" w:rsidR="00000000" w:rsidRPr="00000000">
        <w:rPr>
          <w:rtl w:val="0"/>
        </w:rPr>
        <w:t xml:space="preserve">- Make the exact rules for the Service Pier, approved anchorages, designated vessels, access passes, check-in and reporting instructions configurable only by authorized ATCO users.</w:t>
      </w:r>
    </w:p>
    <w:p w:rsidR="00000000" w:rsidDel="00000000" w:rsidP="00000000" w:rsidRDefault="00000000" w:rsidRPr="00000000" w14:paraId="00000011">
      <w:pPr>
        <w:rPr/>
      </w:pPr>
      <w:r w:rsidDel="00000000" w:rsidR="00000000" w:rsidRPr="00000000">
        <w:rPr>
          <w:b w:val="1"/>
          <w:bCs w:val="1"/>
          <w:rtl w:val="0"/>
        </w:rPr>
        <w:t xml:space="preserve">Source:</w:t>
      </w:r>
      <w:r w:rsidDel="00000000" w:rsidR="00000000" w:rsidRPr="00000000">
        <w:rPr>
          <w:rtl w:val="0"/>
        </w:rPr>
        <w:t xml:space="preserve"> Saudi Aramco, </w:t>
      </w:r>
      <w:r w:rsidDel="00000000" w:rsidR="00000000" w:rsidRPr="00000000">
        <w:rPr>
          <w:i w:val="1"/>
          <w:iCs w:val="1"/>
          <w:rtl w:val="0"/>
        </w:rPr>
        <w:t xml:space="preserve">Ports and Terminals</w:t>
      </w:r>
      <w:r w:rsidDel="00000000" w:rsidR="00000000" w:rsidRPr="00000000">
        <w:rPr>
          <w:rtl w:val="0"/>
        </w:rPr>
        <w:t xml:space="preserve"> (2025 edition), including Ras Tanura sections: https://www.aramco.com/en/what-we-do/operations/ports-and-terminals and https://www.aramco.com/-/media/downloads/working-with-us/ports-and-terminals-july-2025/full-book.pdf</w:t>
      </w:r>
    </w:p>
    <w:p w:rsidR="00000000" w:rsidDel="00000000" w:rsidP="00000000" w:rsidRDefault="00000000" w:rsidRPr="00000000" w14:paraId="00000012">
      <w:pPr>
        <w:pStyle w:val="Heading2"/>
        <w:rPr>
          <w:b w:val="1"/>
          <w:bCs w:val="1"/>
        </w:rPr>
      </w:pPr>
      <w:bookmarkStart w:colFirst="0" w:colLast="0" w:name="_aqxm2676sgjo" w:id="3"/>
      <w:bookmarkEnd w:id="3"/>
      <w:r w:rsidDel="00000000" w:rsidR="00000000" w:rsidRPr="00000000">
        <w:rPr>
          <w:b w:val="1"/>
          <w:bCs w:val="1"/>
          <w:rtl w:val="0"/>
        </w:rPr>
        <w:t xml:space="preserve">3. Marine-unit licensing and ticket-sales questions</w:t>
      </w:r>
    </w:p>
    <w:p w:rsidR="00000000" w:rsidDel="00000000" w:rsidP="00000000" w:rsidRDefault="00000000" w:rsidRPr="00000000" w14:paraId="00000013">
      <w:pPr>
        <w:rPr/>
      </w:pPr>
      <w:r w:rsidDel="00000000" w:rsidR="00000000" w:rsidRPr="00000000">
        <w:rPr>
          <w:rtl w:val="0"/>
        </w:rPr>
        <w:t xml:space="preserve">The Saudi National Platform describes a TGA service for issuance of an operating licence for a marine unit. A published Saudi regulation on navigation licences and work permits describes requirements that can include current safety/security/environmental and crew documents, seaworthiness, insurance, radio licensing, vessel particulars and passenger/crew lists, depending on the vessel and licence category. TGA also publishes material concerning the regulated activity of selling marine travel tickets.</w:t>
      </w:r>
    </w:p>
    <w:p w:rsidR="00000000" w:rsidDel="00000000" w:rsidP="00000000" w:rsidRDefault="00000000" w:rsidRPr="00000000" w14:paraId="00000014">
      <w:pPr>
        <w:rPr/>
      </w:pPr>
      <w:r w:rsidDel="00000000" w:rsidR="00000000" w:rsidRPr="00000000">
        <w:rPr>
          <w:rtl w:val="0"/>
        </w:rPr>
        <w:t xml:space="preserve">These sources are indicators that the operator, vessel and ticket-selling model may each have regulatory obligations. They do </w:t>
      </w:r>
      <w:r w:rsidDel="00000000" w:rsidR="00000000" w:rsidRPr="00000000">
        <w:rPr>
          <w:b w:val="1"/>
          <w:bCs w:val="1"/>
          <w:rtl w:val="0"/>
        </w:rPr>
        <w:t xml:space="preserve">not</w:t>
      </w:r>
      <w:r w:rsidDel="00000000" w:rsidR="00000000" w:rsidRPr="00000000">
        <w:rPr>
          <w:rtl w:val="0"/>
        </w:rPr>
        <w:t xml:space="preserve"> establish which licences ATCO already holds or whether the proposed platform provider itself needs a licence. The exact scope depends on the contractual model, who is the carrier, who sells tickets, who operates the vessel, and the relevant current rules.</w:t>
      </w:r>
    </w:p>
    <w:p w:rsidR="00000000" w:rsidDel="00000000" w:rsidP="00000000" w:rsidRDefault="00000000" w:rsidRPr="00000000" w14:paraId="00000015">
      <w:pPr>
        <w:rPr>
          <w:b w:val="1"/>
          <w:bCs w:val="1"/>
        </w:rPr>
      </w:pPr>
      <w:r w:rsidDel="00000000" w:rsidR="00000000" w:rsidRPr="00000000">
        <w:rPr>
          <w:b w:val="1"/>
          <w:bCs w:val="1"/>
          <w:rtl w:val="0"/>
        </w:rPr>
        <w:t xml:space="preserve">ATCO validation actions:</w:t>
      </w:r>
    </w:p>
    <w:p w:rsidR="00000000" w:rsidDel="00000000" w:rsidP="00000000" w:rsidRDefault="00000000" w:rsidRPr="00000000" w14:paraId="00000016">
      <w:pPr>
        <w:rPr/>
      </w:pPr>
      <w:r w:rsidDel="00000000" w:rsidR="00000000" w:rsidRPr="00000000">
        <w:rPr>
          <w:rtl w:val="0"/>
        </w:rPr>
        <w:t xml:space="preserve">1. Confirm the vessel's current registration, navigation/operating licence, permitted operating area, passenger capacity, payload limit and insurance evidence.</w:t>
      </w:r>
    </w:p>
    <w:p w:rsidR="00000000" w:rsidDel="00000000" w:rsidP="00000000" w:rsidRDefault="00000000" w:rsidRPr="00000000" w14:paraId="00000017">
      <w:pPr>
        <w:rPr/>
      </w:pPr>
      <w:r w:rsidDel="00000000" w:rsidR="00000000" w:rsidRPr="00000000">
        <w:rPr>
          <w:rtl w:val="0"/>
        </w:rPr>
        <w:t xml:space="preserve">2. Confirm the legal entity acting as carrier and merchant of record.</w:t>
      </w:r>
    </w:p>
    <w:p w:rsidR="00000000" w:rsidDel="00000000" w:rsidP="00000000" w:rsidRDefault="00000000" w:rsidRPr="00000000" w14:paraId="00000018">
      <w:pPr>
        <w:rPr/>
      </w:pPr>
      <w:r w:rsidDel="00000000" w:rsidR="00000000" w:rsidRPr="00000000">
        <w:rPr>
          <w:rtl w:val="0"/>
        </w:rPr>
        <w:t xml:space="preserve">3. Ask ATCO Legal/Compliance to determine whether any marine ticket-sales licence or other activity-specific authorization applies to ATCO, an agent, or the platform operator.</w:t>
      </w:r>
    </w:p>
    <w:p w:rsidR="00000000" w:rsidDel="00000000" w:rsidP="00000000" w:rsidRDefault="00000000" w:rsidRPr="00000000" w14:paraId="00000019">
      <w:pPr>
        <w:rPr/>
      </w:pPr>
      <w:r w:rsidDel="00000000" w:rsidR="00000000" w:rsidRPr="00000000">
        <w:rPr>
          <w:rtl w:val="0"/>
        </w:rPr>
        <w:t xml:space="preserve">4. Confirm required passenger identity/permit data, manifest format, retention period and authority/terminal submission process.</w:t>
      </w:r>
    </w:p>
    <w:p w:rsidR="00000000" w:rsidDel="00000000" w:rsidP="00000000" w:rsidRDefault="00000000" w:rsidRPr="00000000" w14:paraId="0000001A">
      <w:pPr>
        <w:rPr/>
      </w:pPr>
      <w:r w:rsidDel="00000000" w:rsidR="00000000" w:rsidRPr="00000000">
        <w:rPr>
          <w:rtl w:val="0"/>
        </w:rPr>
        <w:t xml:space="preserve">5. Confirm whether and how the platform may interface with any port, terminal or permit system. Do not assume an API exists.</w:t>
      </w:r>
    </w:p>
    <w:p w:rsidR="00000000" w:rsidDel="00000000" w:rsidP="00000000" w:rsidRDefault="00000000" w:rsidRPr="00000000" w14:paraId="0000001B">
      <w:pPr>
        <w:rPr/>
      </w:pPr>
      <w:r w:rsidDel="00000000" w:rsidR="00000000" w:rsidRPr="00000000">
        <w:rPr>
          <w:rtl w:val="0"/>
        </w:rPr>
        <w:t xml:space="preserve">Sources: TGA marine-unit operating licence service https://my.gov.sa/en/services/19472 ; Saudi navigation licence/work-permit regulation (Arabic official gazette) https://www.uqn.gov.sa/details?p=18916 ; TGA marine ticket-sales regulation page https://old.tga.gov.sa/Regulations/Read/3252 . The ticket-sales page is an older TGA URL; verify current in-force status with TGA before relying on it.</w:t>
      </w:r>
    </w:p>
    <w:p w:rsidR="00000000" w:rsidDel="00000000" w:rsidP="00000000" w:rsidRDefault="00000000" w:rsidRPr="00000000" w14:paraId="0000001C">
      <w:pPr>
        <w:pStyle w:val="Heading2"/>
        <w:rPr>
          <w:b w:val="1"/>
          <w:bCs w:val="1"/>
        </w:rPr>
      </w:pPr>
      <w:bookmarkStart w:colFirst="0" w:colLast="0" w:name="_pok5xn5pipxw" w:id="4"/>
      <w:bookmarkEnd w:id="4"/>
      <w:r w:rsidDel="00000000" w:rsidR="00000000" w:rsidRPr="00000000">
        <w:rPr>
          <w:b w:val="1"/>
          <w:bCs w:val="1"/>
          <w:rtl w:val="0"/>
        </w:rPr>
        <w:t xml:space="preserve">4. Personal data and cross-border processing</w:t>
      </w:r>
    </w:p>
    <w:p w:rsidR="00000000" w:rsidDel="00000000" w:rsidP="00000000" w:rsidRDefault="00000000" w:rsidRPr="00000000" w14:paraId="0000001D">
      <w:pPr>
        <w:rPr/>
      </w:pPr>
      <w:r w:rsidDel="00000000" w:rsidR="00000000" w:rsidRPr="00000000">
        <w:rPr>
          <w:rtl w:val="0"/>
        </w:rPr>
        <w:t xml:space="preserve">SDAIA publishes the Saudi Personal Data Protection Law (PDPL), its implementing regulation and a regulation on transfers of personal data outside the Kingdom. The platform will process personal data such as passenger names/contact details, identity or permit details where required, company affiliations, booking history, payment references and operational manifests. Those data categories require an approved purpose, limited collection, controlled access, retention rules and a defined response process for data-subject requests and incidents.</w:t>
      </w:r>
    </w:p>
    <w:p w:rsidR="00000000" w:rsidDel="00000000" w:rsidP="00000000" w:rsidRDefault="00000000" w:rsidRPr="00000000" w14:paraId="0000001E">
      <w:pPr>
        <w:rPr/>
      </w:pPr>
      <w:r w:rsidDel="00000000" w:rsidR="00000000" w:rsidRPr="00000000">
        <w:rPr>
          <w:rtl w:val="0"/>
        </w:rPr>
        <w:t xml:space="preserve">The architecture and supplier selection should therefore include a data-location and cross-border-transfer assessment. Do not assume that a cloud region or vendor is acceptable merely because it is technically available. ATCO should determine controller/processor roles, approved hosting locations, vendor terms, transfer safeguards and whether a data-protection officer or other formal measures are required for its circumstances.</w:t>
      </w:r>
    </w:p>
    <w:p w:rsidR="00000000" w:rsidDel="00000000" w:rsidP="00000000" w:rsidRDefault="00000000" w:rsidRPr="00000000" w14:paraId="0000001F">
      <w:pPr>
        <w:rPr/>
      </w:pPr>
      <w:r w:rsidDel="00000000" w:rsidR="00000000" w:rsidRPr="00000000">
        <w:rPr>
          <w:rtl w:val="0"/>
        </w:rPr>
        <w:t xml:space="preserve">Source: SDAIA laws and regulations, including PDPL and cross-border transfer regulation: https://sdaia.gov.sa/en/SDAIA/about/Pages/RegulationsAndPolicies.aspx ; PDPL knowledge centre: https://dgp.sdaia.gov.sa/wps/portal/pdp/knowledgecenter/</w:t>
      </w:r>
    </w:p>
    <w:p w:rsidR="00000000" w:rsidDel="00000000" w:rsidP="00000000" w:rsidRDefault="00000000" w:rsidRPr="00000000" w14:paraId="00000020">
      <w:pPr>
        <w:pStyle w:val="Heading2"/>
        <w:rPr>
          <w:b w:val="1"/>
          <w:bCs w:val="1"/>
        </w:rPr>
      </w:pPr>
      <w:bookmarkStart w:colFirst="0" w:colLast="0" w:name="_u4z63tlz2da3" w:id="5"/>
      <w:bookmarkEnd w:id="5"/>
      <w:r w:rsidDel="00000000" w:rsidR="00000000" w:rsidRPr="00000000">
        <w:rPr>
          <w:b w:val="1"/>
          <w:bCs w:val="1"/>
          <w:rtl w:val="0"/>
        </w:rPr>
        <w:t xml:space="preserve">5. Payments and invoicing</w:t>
      </w:r>
    </w:p>
    <w:p w:rsidR="00000000" w:rsidDel="00000000" w:rsidP="00000000" w:rsidRDefault="00000000" w:rsidRPr="00000000" w14:paraId="00000021">
      <w:pPr>
        <w:rPr/>
      </w:pPr>
      <w:r w:rsidDel="00000000" w:rsidR="00000000" w:rsidRPr="00000000">
        <w:rPr>
          <w:rtl w:val="0"/>
        </w:rPr>
        <w:t xml:space="preserve">SAMA describes mada as a national payment system and documents mada e-commerce support, including 3-D Secure. In July 2025, SAMA announced a new e-commerce payments interface intended to connect mada and global card networks through standardized specifications. The RFP requests mada, Visa, Mastercard and Apple Pay where available, with funds settling directly to ATCO's approved merchant/bank account.</w:t>
      </w:r>
    </w:p>
    <w:p w:rsidR="00000000" w:rsidDel="00000000" w:rsidP="00000000" w:rsidRDefault="00000000" w:rsidRPr="00000000" w14:paraId="00000022">
      <w:pPr>
        <w:rPr/>
      </w:pPr>
      <w:r w:rsidDel="00000000" w:rsidR="00000000" w:rsidRPr="00000000">
        <w:rPr>
          <w:b w:val="1"/>
          <w:bCs w:val="1"/>
          <w:rtl w:val="0"/>
        </w:rPr>
        <w:t xml:space="preserve">Design implications:</w:t>
      </w:r>
      <w:r w:rsidDel="00000000" w:rsidR="00000000" w:rsidRPr="00000000">
        <w:rPr>
          <w:rtl w:val="0"/>
        </w:rPr>
        <w:t xml:space="preserve"> use an ATCO-owned, approved merchant account and payment gateway; use hosted checkout/tokenization so the platform does not store raw card data; verify payment outcomes server-side; handle asynchronous webhooks, retries and duplicate notifications idempotently; reconcile payment, refund and booking records; and confirm which methods are actually enabled for ATCO's merchant account.</w:t>
      </w:r>
    </w:p>
    <w:p w:rsidR="00000000" w:rsidDel="00000000" w:rsidP="00000000" w:rsidRDefault="00000000" w:rsidRPr="00000000" w14:paraId="00000023">
      <w:pPr>
        <w:rPr/>
      </w:pPr>
      <w:r w:rsidDel="00000000" w:rsidR="00000000" w:rsidRPr="00000000">
        <w:rPr>
          <w:rtl w:val="0"/>
        </w:rPr>
        <w:t xml:space="preserve">ZATCA states that e-invoicing applies to persons subject to VAT and is delivered in phases. Phase 2 integration is applied in waves to notified taxpayer groups. ATCO Finance must confirm the entity's VAT status, applicable invoice/credit-note format, whether it has been notified for integration, and the required compliant solution. Human-readable invoice fields must follow applicable Arabic-language requirements; bilingual invoices may be appropriate.</w:t>
      </w:r>
    </w:p>
    <w:p w:rsidR="00000000" w:rsidDel="00000000" w:rsidP="00000000" w:rsidRDefault="00000000" w:rsidRPr="00000000" w14:paraId="00000024">
      <w:pPr>
        <w:rPr/>
      </w:pPr>
      <w:r w:rsidDel="00000000" w:rsidR="00000000" w:rsidRPr="00000000">
        <w:rPr>
          <w:rtl w:val="0"/>
        </w:rPr>
        <w:t xml:space="preserve">Sources: SAMA mada https://www.sama.gov.sa/en-US/payment/Pages/mada.aspx ; SAMA e-commerce interface announcement (7 July 2025) https://www.sama.gov.sa/en-US/MediaCenter/News/pages/news-1095.aspx ; ZATCA e-invoicing https://zatca.gov.sa/en/E-Invoicing/Pages/default.aspx ; ZATCA Phase 2 wave announcement (24 July 2026) https://zatca.gov.sa/en/MediaCenter/News/Pages/Wave25-E-invoicing.aspx</w:t>
      </w:r>
    </w:p>
    <w:p w:rsidR="00000000" w:rsidDel="00000000" w:rsidP="00000000" w:rsidRDefault="00000000" w:rsidRPr="00000000" w14:paraId="00000025">
      <w:pPr>
        <w:pStyle w:val="Heading2"/>
        <w:rPr>
          <w:b w:val="1"/>
          <w:bCs w:val="1"/>
        </w:rPr>
      </w:pPr>
      <w:bookmarkStart w:colFirst="0" w:colLast="0" w:name="_2a78tveu357g" w:id="6"/>
      <w:bookmarkEnd w:id="6"/>
      <w:r w:rsidDel="00000000" w:rsidR="00000000" w:rsidRPr="00000000">
        <w:rPr>
          <w:b w:val="1"/>
          <w:bCs w:val="1"/>
          <w:rtl w:val="0"/>
        </w:rPr>
        <w:t xml:space="preserve">6. Mandatory pre-launch legal/compliance gate</w:t>
      </w:r>
    </w:p>
    <w:p w:rsidR="00000000" w:rsidDel="00000000" w:rsidP="00000000" w:rsidRDefault="00000000" w:rsidRPr="00000000" w14:paraId="00000026">
      <w:pPr>
        <w:rPr/>
      </w:pPr>
      <w:r w:rsidDel="00000000" w:rsidR="00000000" w:rsidRPr="00000000">
        <w:rPr>
          <w:rtl w:val="0"/>
        </w:rPr>
        <w:t xml:space="preserve">Do not launch until ATCO's named owners confirm, in writing:</w:t>
      </w:r>
    </w:p>
    <w:p w:rsidR="00000000" w:rsidDel="00000000" w:rsidP="00000000" w:rsidRDefault="00000000" w:rsidRPr="00000000" w14:paraId="00000027">
      <w:pPr>
        <w:rPr/>
      </w:pPr>
      <w:r w:rsidDel="00000000" w:rsidR="00000000" w:rsidRPr="00000000">
        <w:rPr>
          <w:rtl w:val="0"/>
        </w:rPr>
        <w:t xml:space="preserve">- current vessel, operator, ticket-sales and terminal/port requirements;</w:t>
      </w:r>
    </w:p>
    <w:p w:rsidR="00000000" w:rsidDel="00000000" w:rsidP="00000000" w:rsidRDefault="00000000" w:rsidRPr="00000000" w14:paraId="00000028">
      <w:pPr>
        <w:rPr/>
      </w:pPr>
      <w:r w:rsidDel="00000000" w:rsidR="00000000" w:rsidRPr="00000000">
        <w:rPr>
          <w:rtl w:val="0"/>
        </w:rPr>
        <w:t xml:space="preserve">- approved routes/destinations, passenger and payload limits, permit/manifest requirements;</w:t>
      </w:r>
    </w:p>
    <w:p w:rsidR="00000000" w:rsidDel="00000000" w:rsidP="00000000" w:rsidRDefault="00000000" w:rsidRPr="00000000" w14:paraId="00000029">
      <w:pPr>
        <w:rPr/>
      </w:pPr>
      <w:r w:rsidDel="00000000" w:rsidR="00000000" w:rsidRPr="00000000">
        <w:rPr>
          <w:rtl w:val="0"/>
        </w:rPr>
        <w:t xml:space="preserve">- PDPL role allocation, privacy notice, retention/deletion, data hosting and any transfer assessment;</w:t>
      </w:r>
    </w:p>
    <w:p w:rsidR="00000000" w:rsidDel="00000000" w:rsidP="00000000" w:rsidRDefault="00000000" w:rsidRPr="00000000" w14:paraId="0000002A">
      <w:pPr>
        <w:rPr/>
      </w:pPr>
      <w:r w:rsidDel="00000000" w:rsidR="00000000" w:rsidRPr="00000000">
        <w:rPr>
          <w:rtl w:val="0"/>
        </w:rPr>
        <w:t xml:space="preserve">- approved payment gateway/merchant account and financial reconciliation process;</w:t>
      </w:r>
    </w:p>
    <w:p w:rsidR="00000000" w:rsidDel="00000000" w:rsidP="00000000" w:rsidRDefault="00000000" w:rsidRPr="00000000" w14:paraId="0000002B">
      <w:pPr>
        <w:rPr/>
      </w:pPr>
      <w:r w:rsidDel="00000000" w:rsidR="00000000" w:rsidRPr="00000000">
        <w:rPr>
          <w:rtl w:val="0"/>
        </w:rPr>
        <w:t xml:space="preserve">- applicable VAT, invoicing and ZATCA Fatoora obligations;</w:t>
      </w:r>
    </w:p>
    <w:p w:rsidR="00000000" w:rsidDel="00000000" w:rsidP="00000000" w:rsidRDefault="00000000" w:rsidRPr="00000000" w14:paraId="0000002C">
      <w:pPr>
        <w:rPr/>
      </w:pPr>
      <w:r w:rsidDel="00000000" w:rsidR="00000000" w:rsidRPr="00000000">
        <w:rPr>
          <w:rtl w:val="0"/>
        </w:rPr>
        <w:t xml:space="preserve">- approved passenger, material, cancellation, no-show, weather and refund policies;</w:t>
      </w:r>
    </w:p>
    <w:p w:rsidR="00000000" w:rsidDel="00000000" w:rsidP="00000000" w:rsidRDefault="00000000" w:rsidRPr="00000000" w14:paraId="0000002D">
      <w:pPr>
        <w:rPr/>
      </w:pPr>
      <w:r w:rsidDel="00000000" w:rsidR="00000000" w:rsidRPr="00000000">
        <w:rPr>
          <w:rtl w:val="0"/>
        </w:rPr>
        <w:t xml:space="preserve">- responsible persons for safety approvals and the Master's final operational decision.</w:t>
      </w:r>
    </w:p>
    <w:p w:rsidR="00000000" w:rsidDel="00000000" w:rsidP="00000000" w:rsidRDefault="00000000" w:rsidRPr="00000000" w14:paraId="0000002E">
      <w:pPr>
        <w:pStyle w:val="Heading2"/>
        <w:rPr>
          <w:b w:val="1"/>
          <w:bCs w:val="1"/>
        </w:rPr>
      </w:pPr>
      <w:bookmarkStart w:colFirst="0" w:colLast="0" w:name="_1upii34bitq7" w:id="7"/>
      <w:bookmarkEnd w:id="7"/>
      <w:r w:rsidDel="00000000" w:rsidR="00000000" w:rsidRPr="00000000">
        <w:rPr>
          <w:b w:val="1"/>
          <w:bCs w:val="1"/>
          <w:rtl w:val="0"/>
        </w:rPr>
        <w:t xml:space="preserve">7. Source register and limitations</w:t>
      </w:r>
    </w:p>
    <w:p w:rsidR="00000000" w:rsidDel="00000000" w:rsidP="00000000" w:rsidRDefault="00000000" w:rsidRPr="00000000" w14:paraId="0000002F">
      <w:pPr>
        <w:rPr/>
      </w:pPr>
      <w:r w:rsidDel="00000000" w:rsidR="00000000" w:rsidRPr="00000000">
        <w:rPr>
          <w:rtl w:val="0"/>
        </w:rPr>
        <w:t xml:space="preserve">This is a desk-research starting point, not a complete legal opinion. The Aramco guide is a primary source for its terminals but ATCO must identify the exact terminal rules that govern the planned operation. Public sources do not reveal ATCO's internal permits, contracts, insurance, account configuration or current approvals. Re-check the official source pages and obtain qualified Saudi legal/compliance review before final proposal sign-off.</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