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COMMERCIAL PROPOSAL — COSTING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 prices have been invented. Populate only after estimating effort and obtaining third-party quotes. Keep one-time, recurring, usage-based, optional, and pass-through costs separate. State currency, VAT/tax treatment, assumptions, and quote validity.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A. ONE-TIME COSTS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Discovery and requirements workshops — [qty/effort] [rate] [total]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Requirements documentation and compliance matrix — [estimate]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UX research, two or three design concepts, design system — [estimate]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Clickable prototype — [estimate]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Customer web/PWA development — [estimate]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Corporate account features — [estimate]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 Ship agent features and settlements — [estimate]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8. ATCO admin and operations dashboard — [estimate]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9. Boarding QR scanning/manual verification — [estimate]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10. Material request, review and delivery records — [estimate]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11. Payment gateway integration — [estimate; gateway/provider fees separate]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12. Messaging integration — [estimate; usage charges separate]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13. Invoicing/e-invoicing approach — [estimate after ATCO Finance validation]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14. Reports and exports — [estimate]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15. Security, privacy, performance and recovery testing — [estimate]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16. User acceptance testing and defect correction — [estimate]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17. Deployment and configuration — [estimate]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18. Training and documentation — [estimate]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19. Project management and launch support — [estimate]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20. Optional iOS application — [separate quote]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21. Optional Android application — [separate quote]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22. Future accounting/ERP/CRM integrations — [separate quote after target system confirmed]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B. RECURRING COSTS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Hosting and infrastructure: [provider, capacity assumption, monthly/annual amount]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Monitoring, backups, recovery storage: [quote]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Software/platform licences: [list each and owner]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Maintenance and support: [scope, hours, SLA, monthly/annual amount]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Security scanning/assessment: [frequency and cost]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Domain, certificates and service accounts: [owner and renewal cost]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Payment gateway fixed fees: [provider quote]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C. USAGE-BASED / PASS-THROUGH COSTS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Payment processing by method: [provider fee; confirm settlement and refund terms]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SMS: [price per segment/message and destination assumptions]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Email: [provider pricing and volume assumptions]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WhatsApp Business: [provider/template/conversation pricing and consent assumptions]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File storage/egress/attachments: [usage assumption]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Apple/Google developer accounts or app store charges if applicable: [verify current terms]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Any third-party licences: [name, unit, renewal, restrictions]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D. THREE-YEAR TOTAL COST OF OWNERSHIP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Year 1 = one-time implementation + Year 1 recurring + estimated usage charges + optional items selected.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Year 2 = recurring + usage charges + planned maintenance/renewals.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Year 3 = recurring + usage charges + planned maintenance/renewals.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Three-year TCO = Year 1 + Year 2 + Year 3.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Usage assumptions to state explicitly: number of sailings/month; bookings/sailing; passengers/booking; payments by method; refunds/cancellations; corporate credit usage; number of agents; SMS/WhatsApp/email volume; attachment volume; active admin/operations users; data retention; support coverage. These figures are currently unknown and must not be fabricated.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E. COMMERCIAL TERMS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Currency: [confirm]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Tax/VAT treatment: [confirm with ATCO]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Payment milestones linked to acceptance: [propose and negotiate]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Quote validity: [set actual period]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Warranty: [duration and coverage]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Support SLA: [hours, severity, response and resolution targets]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Change-request rate and approval process: [specify]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Delay remedies / termination / handover: [contract review]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IP/source code ownership: follow agreed contract; client asks for ATCO ownership of data and bespoke deliverables and source-code/repository/deployment clarity.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F. BUSINESS BENEFIT FOR EACH RECOMMENDATION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Recommendation | Benefit | Included or separately priced | Cost | Dependency | Approval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Never describe a cost as fixed until scope, provider pricing, usage assumptions and exclusions are clear.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