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1xwlf78boen" w:id="0"/>
      <w:bookmarkEnd w:id="0"/>
      <w:r w:rsidDel="00000000" w:rsidR="00000000" w:rsidRPr="00000000">
        <w:rPr>
          <w:b w:val="1"/>
          <w:bCs w:val="1"/>
          <w:rtl w:val="0"/>
        </w:rPr>
        <w:t xml:space="preserve">Three-Year Total Cost of Ownership (TCO)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Commercial model framework; no supplier quotes or final project prices have been invented.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SAR, excluding VAT unless the proposal states otherwise.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ln5mu0hax03q" w:id="1"/>
      <w:bookmarkEnd w:id="1"/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client requests a three-year total cost of ownership. This document defines the cost categories and the evidence required to produce a defensible quote. Every amount should be tagged as a supplier quote, internal estimate, client-provided figure or assumption. Do not present an estimate as a confirmed vendor price.</w:t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kx0v4ucr2rj" w:id="2"/>
      <w:bookmarkEnd w:id="2"/>
      <w:r w:rsidDel="00000000" w:rsidR="00000000" w:rsidRPr="00000000">
        <w:rPr>
          <w:b w:val="1"/>
          <w:bCs w:val="1"/>
          <w:rtl w:val="0"/>
        </w:rPr>
        <w:t xml:space="preserve">2. Cost categories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line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One-time / recurring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evidence needed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and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estimate, workshop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operations, finance, IT, compliance and stakeholder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UX/UI concepts and clickable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inventory, design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or three concepts and prototype required by brief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Bilingual Arabic/English design and RTL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+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count and review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RTL behavior and Arabic content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web app/PWA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scope, 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channel; confirm browser/device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Backend/API and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build + recurring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and workload 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Includes authorization, state transitions, audit,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and agent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credit/settlement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may grow with ERP/CRM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Operations/boarding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Roles, scan devices, offline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and manual reference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approvals and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categories and review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 and retention may create recurring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/ provider-dependent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provider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Merchant onboarding, setup, transaction fees, refund fees and settlement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Recurring/variable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rate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fee per transaction and refund/dispute costs separately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Email/SMS/WhatsApp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Recurring/variable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pricing and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approval, sender identity and message fees may apply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Hosting, database, storage, CDN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Region, traffic, storage, availability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Data-location and security constraints can affect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Monitoring, backups and disaster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Retention/RTO/RPO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restore testing and alerting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testing and remediation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+ recurring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and independent tester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retesting and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E-invoicing/accounting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Optional/conditional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Finance decision, vendor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assume ZATCA Phase 2 applicability or existing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integration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documentation and vendor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Port/permit/ERP/CRM integrations are not 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and go-live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count, shifts and training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Operations, Finance, boarding and administrators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Warranty and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Recurring/contractual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SLA, support hours and severity definitions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what is included vs chargeable change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iOS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separate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and device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 as separately priced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Android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separate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and device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 as separately priced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store accounts/release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Recurring/conditional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 and release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ATCO-owned accounts and publishing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Enhancements/change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card or estimate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defects from scope changes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bCs w:val="1"/>
        </w:rPr>
      </w:pPr>
      <w:bookmarkStart w:colFirst="0" w:colLast="0" w:name="_m0sujcn80bw4" w:id="3"/>
      <w:bookmarkEnd w:id="3"/>
      <w:r w:rsidDel="00000000" w:rsidR="00000000" w:rsidRPr="00000000">
        <w:rPr>
          <w:b w:val="1"/>
          <w:bCs w:val="1"/>
          <w:rtl w:val="0"/>
        </w:rPr>
        <w:t xml:space="preserve">3. Three-year calculation template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each line, capture: supplier/owner, quote date, quote expiry, one-time setup, year 1 recurring, year 2 recurring, year 3 recurring, variable-volume assumptions, tax treatment, currency, contract term, renewal/escalation, dependency and confidence level.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TCO formula: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 1 = one-time implementation + Year 1 recurring + Year 1 variable usage + Year 1 support.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 2 = Year 2 recurring + Year 2 variable usage + Year 2 support + approved changes.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 3 = Year 3 recurring + Year 3 variable usage + Year 3 support + approved changes.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Three-year TCO = Year 1 + Year 2 + Year 3, with optional contingency shown separately and clearly labeled.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not double-count gateway transaction fees inside both a bundled subscription and a separate fee line. Distinguish platform development cost from ongoing vendor charges.</w:t>
      </w:r>
    </w:p>
    <w:p w:rsidR="00000000" w:rsidDel="00000000" w:rsidP="00000000" w:rsidRDefault="00000000" w:rsidRPr="00000000" w14:paraId="0000006F">
      <w:pPr>
        <w:pStyle w:val="Heading2"/>
        <w:rPr>
          <w:b w:val="1"/>
          <w:bCs w:val="1"/>
        </w:rPr>
      </w:pPr>
      <w:bookmarkStart w:colFirst="0" w:colLast="0" w:name="_25eo8anj1ru0" w:id="4"/>
      <w:bookmarkEnd w:id="4"/>
      <w:r w:rsidDel="00000000" w:rsidR="00000000" w:rsidRPr="00000000">
        <w:rPr>
          <w:b w:val="1"/>
          <w:bCs w:val="1"/>
          <w:rtl w:val="0"/>
        </w:rPr>
        <w:t xml:space="preserve">4. Usage assumptions to obtain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ATCO should provide or approve: expected sailings per day/week/month; seats per sailing; passenger load factor; number of corporate and agent accounts; average bookings and passengers per booking; percentage of online vs credit bookings; material requests per month and typical attachment size; refund/cancellation rate; average payment value; payment-method mix; SMS/WhatsApp/email volume; report/export volume; data retention; peak concurrent users; support hours and availability target.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Where figures are not supplied, show low/base/high scenarios with the values explicitly labeled as modelling assumptions. Avoid using optimistic volumes as facts.</w:t>
      </w:r>
    </w:p>
    <w:p w:rsidR="00000000" w:rsidDel="00000000" w:rsidP="00000000" w:rsidRDefault="00000000" w:rsidRPr="00000000" w14:paraId="00000072">
      <w:pPr>
        <w:pStyle w:val="Heading2"/>
        <w:rPr>
          <w:b w:val="1"/>
          <w:bCs w:val="1"/>
        </w:rPr>
      </w:pPr>
      <w:bookmarkStart w:colFirst="0" w:colLast="0" w:name="_vv2vs8n8pfi2" w:id="5"/>
      <w:bookmarkEnd w:id="5"/>
      <w:r w:rsidDel="00000000" w:rsidR="00000000" w:rsidRPr="00000000">
        <w:rPr>
          <w:b w:val="1"/>
          <w:bCs w:val="1"/>
          <w:rtl w:val="0"/>
        </w:rPr>
        <w:t xml:space="preserve">5. Commercial structure to propose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Fixed-price discovery and prototype milestone, with outputs and acceptance criteria.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milestones tied to agreed deliverables and client dependencies.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optional prices for native iOS and Android apps.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stated third-party costs and transaction fees, either passed through at cost or quoted with a disclosed handling model.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support/warranty option with hours, severity levels, response targets, exclusions and escalation path.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Change-request process with written estimate and approval before work begins.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Assumptions, exclusions, validity period, payment milestones, tax treatment, ownership/IP, source-code handover and termination/transition terms.</w:t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</w:rPr>
      </w:pPr>
      <w:bookmarkStart w:colFirst="0" w:colLast="0" w:name="_eqe07vpmz5of" w:id="6"/>
      <w:bookmarkEnd w:id="6"/>
      <w:r w:rsidDel="00000000" w:rsidR="00000000" w:rsidRPr="00000000">
        <w:rPr>
          <w:b w:val="1"/>
          <w:bCs w:val="1"/>
          <w:rtl w:val="0"/>
        </w:rPr>
        <w:t xml:space="preserve">6. Risks that materially affect price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Unconfirmed vessel/port/permit integrations.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Undefined offline boarding and device requirements.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Unconfirmed Saudi hosting/data-location constraints.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of e-invoicing, accounting/ERP/CRM integration.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Corporate credit workflows and agent commission/settlement complexity.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restrictions and evidence-retention requirements.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Unspecified security testing and support SLA.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Native mobile apps added to the PWA scope.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Delayed payment-provider onboarding, Arabic content or ATCO approvals.</w:t>
      </w:r>
    </w:p>
    <w:p w:rsidR="00000000" w:rsidDel="00000000" w:rsidP="00000000" w:rsidRDefault="00000000" w:rsidRPr="00000000" w14:paraId="00000084">
      <w:pPr>
        <w:pStyle w:val="Heading2"/>
        <w:rPr>
          <w:b w:val="1"/>
          <w:bCs w:val="1"/>
        </w:rPr>
      </w:pPr>
      <w:bookmarkStart w:colFirst="0" w:colLast="0" w:name="_jvm6slntrhjf" w:id="7"/>
      <w:bookmarkEnd w:id="7"/>
      <w:r w:rsidDel="00000000" w:rsidR="00000000" w:rsidRPr="00000000">
        <w:rPr>
          <w:b w:val="1"/>
          <w:bCs w:val="1"/>
          <w:rtl w:val="0"/>
        </w:rPr>
        <w:t xml:space="preserve">7. Payment gateway evidence checklist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Request written responses for: supported Saudi merchant entity and KYC, mada/Visa/Mastercard/Apple Pay availability, hosted checkout, tokenization, 3-D Secure, API/webhook documentation, test environment, setup and monthly fees, transaction rates by method, refund and chargeback fees, settlement timing, reserve/hold terms, reconciliation reports, PCI responsibilities, support SLA, data processing and termination/export terms.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SAMA source on mada e-commerce: https://www.sama.gov.sa/en-US/payment/Pages/mada.aspx ; SAMA's 2025 e-commerce payments interface announcement: https://www.sama.gov.sa/en-US/MediaCenter/News/pages/news-1095.aspx</w:t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</w:rPr>
      </w:pPr>
      <w:bookmarkStart w:colFirst="0" w:colLast="0" w:name="_7ovl3m4c1fqw" w:id="8"/>
      <w:bookmarkEnd w:id="8"/>
      <w:r w:rsidDel="00000000" w:rsidR="00000000" w:rsidRPr="00000000">
        <w:rPr>
          <w:b w:val="1"/>
          <w:bCs w:val="1"/>
          <w:rtl w:val="0"/>
        </w:rPr>
        <w:t xml:space="preserve">8. Tax and invoicing caveat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ZATCA describes e-invoicing in two phases, with Phase 2 integration rolled out in waves to targeted taxpayers. ATCO Finance must confirm its VAT status and any specific notification/deadline, required invoice fields, Arabic requirements, credit-note behavior and Fatoora integration. Cost should be an explicit conditional line until confirmed.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Source: https://zatca.gov.sa/en/E-Invoicing/Pages/default.aspx and https://zatca.gov.sa/en/MediaCenter/News/Pages/Wave25-E-invoicing.aspx</w:t>
      </w:r>
    </w:p>
    <w:p w:rsidR="00000000" w:rsidDel="00000000" w:rsidP="00000000" w:rsidRDefault="00000000" w:rsidRPr="00000000" w14:paraId="0000008A">
      <w:pPr>
        <w:pStyle w:val="Heading2"/>
        <w:rPr>
          <w:b w:val="1"/>
          <w:bCs w:val="1"/>
        </w:rPr>
      </w:pPr>
      <w:bookmarkStart w:colFirst="0" w:colLast="0" w:name="_9lov03phkuop" w:id="9"/>
      <w:bookmarkEnd w:id="9"/>
      <w:r w:rsidDel="00000000" w:rsidR="00000000" w:rsidRPr="00000000">
        <w:rPr>
          <w:b w:val="1"/>
          <w:bCs w:val="1"/>
          <w:rtl w:val="0"/>
        </w:rPr>
        <w:t xml:space="preserve">9. Commercial data sheet to complete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Owner/source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Confidence/status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estimated after scope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 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requested after region/architecture 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Gateway fee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quote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ATCO/provider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 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quote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support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priced against agreed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2/3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Supplier/contract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Usage scenario volumes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to supply or approve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Operations/Finance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iOS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Android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issue a final fixed-price three-year TCO until the open scope, volume assumptions, vendor fees and support terms are explicitly documented.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