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60"/>
        </w:rPr>
        <w:t>AR Collections &amp; Provision Forecasting</w:t>
      </w:r>
    </w:p>
    <w:p>
      <w:pPr>
        <w:jc w:val="center"/>
      </w:pPr>
      <w:r>
        <w:rPr>
          <w:i/>
          <w:color w:val="2F75B5"/>
          <w:sz w:val="30"/>
        </w:rPr>
        <w:t>The Complete Guide to Tool 1 (Orion) and Tool 2 (BUD2026)</w:t>
      </w:r>
    </w:p>
    <w:p/>
    <w:p>
      <w:pPr>
        <w:jc w:val="center"/>
      </w:pPr>
      <w:r>
        <w:rPr>
          <w:color w:val="595959"/>
          <w:sz w:val="22"/>
        </w:rPr>
        <w:t>From zero finance background to fluent, with worked Q1-Q2-Q3-Q4 examples</w:t>
      </w:r>
    </w:p>
    <w:p>
      <w:pPr>
        <w:jc w:val="center"/>
      </w:pPr>
      <w:r>
        <w:rPr>
          <w:color w:val="595959"/>
          <w:sz w:val="22"/>
        </w:rPr>
        <w:t>Mindware Credit &amp; Finance - Internal Reference</w:t>
      </w:r>
    </w:p>
    <w:p>
      <w:pPr>
        <w:jc w:val="center"/>
      </w:pPr>
      <w:r>
        <w:rPr>
          <w:color w:val="595959"/>
          <w:sz w:val="22"/>
        </w:rPr>
        <w:t>July 2026</w:t>
      </w:r>
    </w:p>
    <w:p>
      <w:r>
        <w:br w:type="page"/>
      </w:r>
    </w:p>
    <w:p>
      <w:r>
        <w:rPr>
          <w:b/>
          <w:color w:val="1F3A5F"/>
          <w:sz w:val="40"/>
        </w:rPr>
        <w:t>Table of Contents</w:t>
      </w:r>
    </w:p>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How to Read This Guide</w:t>
      </w:r>
    </w:p>
    <w:p>
      <w:pPr>
        <w:spacing w:after="120"/>
      </w:pPr>
      <w:r>
        <w:rPr>
          <w:b w:val="0"/>
          <w:i w:val="0"/>
        </w:rPr>
        <w:t>This guide assumes you know nothing about credit, aging, or provisioning. Part 0 builds the vocabulary from the ground up. Parts 1 and 2 explain the two tools in detail, each with a full worked numeric example - real numbers, calculated by the actual tool and Excel, not rounded or invented. Part 3 shows how the two tools connect into one pipeline. Part 4 is an alphabetical glossary you can jump to any time a term is unfamiliar.</w:t>
      </w:r>
    </w:p>
    <w:p>
      <w:pPr>
        <w:spacing w:after="120"/>
      </w:pPr>
      <w:r>
        <w:rPr>
          <w:b w:val="0"/>
          <w:i w:val="0"/>
        </w:rPr>
        <w:t>Every number in this document was produced by actually running the tools (or, for Tool 2, by generating a real workbook and letting Excel calculate it) - nothing is hand-estimated. You can trust the arithmetic completely; focus your attention on the logic.</w:t>
      </w:r>
    </w:p>
    <w:tbl>
      <w:tblPr>
        <w:tblW w:type="auto" w:w="0"/>
        <w:jc w:val="center"/>
        <w:tblLook w:firstColumn="1" w:firstRow="1" w:lastColumn="0" w:lastRow="0" w:noHBand="0" w:noVBand="1" w:val="04A0"/>
      </w:tblPr>
      <w:tblGrid>
        <w:gridCol w:w="9746"/>
      </w:tblGrid>
      <w:tr>
        <w:tc>
          <w:tcPr>
            <w:tcW w:type="dxa" w:w="9746"/>
            <w:shd w:val="clear" w:color="auto" w:fill="D9E8F5"/>
            <w:tcMar>
              <w:top w:w="140" w:type="dxa"/>
              <w:bottom w:w="140" w:type="dxa"/>
              <w:left w:w="200" w:type="dxa"/>
              <w:right w:w="200" w:type="dxa"/>
            </w:tcMar>
          </w:tcPr>
          <w:p>
            <w:r>
              <w:rPr>
                <w:b/>
              </w:rPr>
              <w:t xml:space="preserve">Quick map:  </w:t>
            </w:r>
            <w:r>
              <w:t>Tool 1 (Orion) turns raw invoices into a collections forecast. Tool 2 (BUD2026) turns that collections forecast into a provision (bad-debt expense) forecast. Tool 1 answers 'how much will we collect?'. Tool 2 answers 'how much should we expense as a loss if we don't?'</w:t>
            </w:r>
          </w:p>
        </w:tc>
      </w:tr>
    </w:tbl>
    <w:p/>
    <w:p>
      <w:r>
        <w:br w:type="page"/>
      </w:r>
    </w:p>
    <w:p>
      <w:pPr>
        <w:pStyle w:val="Heading1"/>
      </w:pPr>
      <w:r>
        <w:t>Part 0 - Finance Fundamentals (Start Here)</w:t>
      </w:r>
    </w:p>
    <w:p>
      <w:pPr>
        <w:spacing w:after="120"/>
      </w:pPr>
      <w:r>
        <w:rPr>
          <w:b w:val="0"/>
          <w:i w:val="0"/>
        </w:rPr>
        <w:t>Skip this part only if you already work in credit or collections. Everything here is background you need before Tool 1 or Tool 2 will make sense.</w:t>
      </w:r>
    </w:p>
    <w:p>
      <w:pPr>
        <w:pStyle w:val="Heading2"/>
      </w:pPr>
      <w:r>
        <w:t>0.1 What is Accounts Receivable (AR)?</w:t>
      </w:r>
    </w:p>
    <w:p>
      <w:pPr>
        <w:spacing w:after="120"/>
      </w:pPr>
      <w:r>
        <w:rPr>
          <w:b w:val="0"/>
          <w:i w:val="0"/>
        </w:rPr>
        <w:t>When Mindware sells goods to a customer on credit terms (not cash), we send an invoice and the customer owes us money until they pay it. The total of all unpaid invoices, across all customers, at any moment, is called Accounts Receivable, or AR. It is an asset on the balance sheet - money we are owed - but it is only a real asset if the customer actually pays. That is the entire problem these two tools exist to manage.</w:t>
      </w:r>
    </w:p>
    <w:p>
      <w:pPr>
        <w:pStyle w:val="Heading2"/>
      </w:pPr>
      <w:r>
        <w:t>0.2 What is "aging" and why does it matter?</w:t>
      </w:r>
    </w:p>
    <w:p>
      <w:pPr>
        <w:spacing w:after="120"/>
      </w:pPr>
      <w:r>
        <w:rPr>
          <w:b w:val="0"/>
          <w:i w:val="0"/>
        </w:rPr>
        <w:t>Every invoice has a due date. "Aging" means measuring how many days have passed since that due date, as of some reference date (called the "as on date" or "AR Data Date" depending on the tool). An invoice that is 5 days overdue is a minor, everyday event. An invoice that is 200 days overdue is a serious warning sign - most customers who haven't paid in 200 days never will.</w:t>
      </w:r>
    </w:p>
    <w:p>
      <w:pPr>
        <w:spacing w:after="120"/>
      </w:pPr>
      <w:r>
        <w:rPr>
          <w:b w:val="0"/>
          <w:i w:val="0"/>
        </w:rPr>
        <w:t>So every unpaid invoice is sorted into an "aging bucket" based on how many days overdue it is. Both tools in this guide use the same six overdue buckets, plus a "Not Due" bucket for invoices that haven't reached their due date yet:</w:t>
      </w:r>
    </w:p>
    <w:tbl>
      <w:tblPr>
        <w:tblStyle w:val="LightGrid-Accent1"/>
        <w:tblW w:type="auto" w:w="0"/>
        <w:jc w:val="center"/>
        <w:tblLook w:firstColumn="1" w:firstRow="1" w:lastColumn="0" w:lastRow="0" w:noHBand="0" w:noVBand="1" w:val="04A0"/>
      </w:tblPr>
      <w:tblGrid>
        <w:gridCol w:w="4873"/>
        <w:gridCol w:w="4873"/>
      </w:tblGrid>
      <w:tr>
        <w:tc>
          <w:tcPr>
            <w:tcW w:type="dxa" w:w="2304"/>
            <w:shd w:val="clear" w:color="auto" w:fill="1F3A5F"/>
            <w:tcMar>
              <w:top w:w="80" w:type="dxa"/>
              <w:bottom w:w="80" w:type="dxa"/>
              <w:left w:w="120" w:type="dxa"/>
              <w:right w:w="120" w:type="dxa"/>
            </w:tcMar>
          </w:tcPr>
          <w:p>
            <w:r/>
            <w:r>
              <w:rPr>
                <w:b/>
                <w:color w:val="FFFFFF"/>
              </w:rPr>
              <w:t>Bucket</w:t>
            </w:r>
          </w:p>
        </w:tc>
        <w:tc>
          <w:tcPr>
            <w:tcW w:type="dxa" w:w="6912"/>
            <w:shd w:val="clear" w:color="auto" w:fill="1F3A5F"/>
            <w:tcMar>
              <w:top w:w="80" w:type="dxa"/>
              <w:bottom w:w="80" w:type="dxa"/>
              <w:left w:w="120" w:type="dxa"/>
              <w:right w:w="120" w:type="dxa"/>
            </w:tcMar>
          </w:tcPr>
          <w:p>
            <w:r/>
            <w:r>
              <w:rPr>
                <w:b/>
                <w:color w:val="FFFFFF"/>
              </w:rPr>
              <w:t>Meaning</w:t>
            </w:r>
          </w:p>
        </w:tc>
      </w:tr>
      <w:tr>
        <w:tc>
          <w:tcPr>
            <w:tcW w:type="dxa" w:w="2304"/>
            <w:tcMar>
              <w:top w:w="80" w:type="dxa"/>
              <w:bottom w:w="80" w:type="dxa"/>
              <w:left w:w="120" w:type="dxa"/>
              <w:right w:w="120" w:type="dxa"/>
            </w:tcMar>
          </w:tcPr>
          <w:p>
            <w:r/>
            <w:r>
              <w:rPr>
                <w:sz w:val="19"/>
              </w:rPr>
              <w:t>Not Due</w:t>
            </w:r>
          </w:p>
        </w:tc>
        <w:tc>
          <w:tcPr>
            <w:tcW w:type="dxa" w:w="6912"/>
            <w:tcMar>
              <w:top w:w="80" w:type="dxa"/>
              <w:bottom w:w="80" w:type="dxa"/>
              <w:left w:w="120" w:type="dxa"/>
              <w:right w:w="120" w:type="dxa"/>
            </w:tcMar>
          </w:tcPr>
          <w:p>
            <w:r/>
            <w:r>
              <w:rPr>
                <w:sz w:val="19"/>
              </w:rPr>
              <w:t>Due date has not arrived yet - the customer isn't late</w:t>
            </w:r>
          </w:p>
        </w:tc>
      </w:tr>
      <w:tr>
        <w:tc>
          <w:tcPr>
            <w:tcW w:type="dxa" w:w="2304"/>
            <w:tcMar>
              <w:top w:w="80" w:type="dxa"/>
              <w:bottom w:w="80" w:type="dxa"/>
              <w:left w:w="120" w:type="dxa"/>
              <w:right w:w="120" w:type="dxa"/>
            </w:tcMar>
          </w:tcPr>
          <w:p>
            <w:r/>
            <w:r>
              <w:rPr>
                <w:sz w:val="19"/>
              </w:rPr>
              <w:t>1 to 30</w:t>
            </w:r>
          </w:p>
        </w:tc>
        <w:tc>
          <w:tcPr>
            <w:tcW w:type="dxa" w:w="6912"/>
            <w:tcMar>
              <w:top w:w="80" w:type="dxa"/>
              <w:bottom w:w="80" w:type="dxa"/>
              <w:left w:w="120" w:type="dxa"/>
              <w:right w:w="120" w:type="dxa"/>
            </w:tcMar>
          </w:tcPr>
          <w:p>
            <w:r/>
            <w:r>
              <w:rPr>
                <w:sz w:val="19"/>
              </w:rPr>
              <w:t>1-30 days past the due date</w:t>
            </w:r>
          </w:p>
        </w:tc>
      </w:tr>
      <w:tr>
        <w:tc>
          <w:tcPr>
            <w:tcW w:type="dxa" w:w="2304"/>
            <w:tcMar>
              <w:top w:w="80" w:type="dxa"/>
              <w:bottom w:w="80" w:type="dxa"/>
              <w:left w:w="120" w:type="dxa"/>
              <w:right w:w="120" w:type="dxa"/>
            </w:tcMar>
          </w:tcPr>
          <w:p>
            <w:r/>
            <w:r>
              <w:rPr>
                <w:sz w:val="19"/>
              </w:rPr>
              <w:t>31 to 60</w:t>
            </w:r>
          </w:p>
        </w:tc>
        <w:tc>
          <w:tcPr>
            <w:tcW w:type="dxa" w:w="6912"/>
            <w:tcMar>
              <w:top w:w="80" w:type="dxa"/>
              <w:bottom w:w="80" w:type="dxa"/>
              <w:left w:w="120" w:type="dxa"/>
              <w:right w:w="120" w:type="dxa"/>
            </w:tcMar>
          </w:tcPr>
          <w:p>
            <w:r/>
            <w:r>
              <w:rPr>
                <w:sz w:val="19"/>
              </w:rPr>
              <w:t>31-60 days past due</w:t>
            </w:r>
          </w:p>
        </w:tc>
      </w:tr>
      <w:tr>
        <w:tc>
          <w:tcPr>
            <w:tcW w:type="dxa" w:w="2304"/>
            <w:tcMar>
              <w:top w:w="80" w:type="dxa"/>
              <w:bottom w:w="80" w:type="dxa"/>
              <w:left w:w="120" w:type="dxa"/>
              <w:right w:w="120" w:type="dxa"/>
            </w:tcMar>
          </w:tcPr>
          <w:p>
            <w:r/>
            <w:r>
              <w:rPr>
                <w:sz w:val="19"/>
              </w:rPr>
              <w:t>61 to 90</w:t>
            </w:r>
          </w:p>
        </w:tc>
        <w:tc>
          <w:tcPr>
            <w:tcW w:type="dxa" w:w="6912"/>
            <w:tcMar>
              <w:top w:w="80" w:type="dxa"/>
              <w:bottom w:w="80" w:type="dxa"/>
              <w:left w:w="120" w:type="dxa"/>
              <w:right w:w="120" w:type="dxa"/>
            </w:tcMar>
          </w:tcPr>
          <w:p>
            <w:r/>
            <w:r>
              <w:rPr>
                <w:sz w:val="19"/>
              </w:rPr>
              <w:t>61-90 days past due</w:t>
            </w:r>
          </w:p>
        </w:tc>
      </w:tr>
      <w:tr>
        <w:tc>
          <w:tcPr>
            <w:tcW w:type="dxa" w:w="2304"/>
            <w:tcMar>
              <w:top w:w="80" w:type="dxa"/>
              <w:bottom w:w="80" w:type="dxa"/>
              <w:left w:w="120" w:type="dxa"/>
              <w:right w:w="120" w:type="dxa"/>
            </w:tcMar>
          </w:tcPr>
          <w:p>
            <w:r/>
            <w:r>
              <w:rPr>
                <w:sz w:val="19"/>
              </w:rPr>
              <w:t>91 to 120</w:t>
            </w:r>
          </w:p>
        </w:tc>
        <w:tc>
          <w:tcPr>
            <w:tcW w:type="dxa" w:w="6912"/>
            <w:tcMar>
              <w:top w:w="80" w:type="dxa"/>
              <w:bottom w:w="80" w:type="dxa"/>
              <w:left w:w="120" w:type="dxa"/>
              <w:right w:w="120" w:type="dxa"/>
            </w:tcMar>
          </w:tcPr>
          <w:p>
            <w:r/>
            <w:r>
              <w:rPr>
                <w:sz w:val="19"/>
              </w:rPr>
              <w:t>91-120 days past due</w:t>
            </w:r>
          </w:p>
        </w:tc>
      </w:tr>
      <w:tr>
        <w:tc>
          <w:tcPr>
            <w:tcW w:type="dxa" w:w="2304"/>
            <w:tcMar>
              <w:top w:w="80" w:type="dxa"/>
              <w:bottom w:w="80" w:type="dxa"/>
              <w:left w:w="120" w:type="dxa"/>
              <w:right w:w="120" w:type="dxa"/>
            </w:tcMar>
          </w:tcPr>
          <w:p>
            <w:r/>
            <w:r>
              <w:rPr>
                <w:sz w:val="19"/>
              </w:rPr>
              <w:t>121 to 150</w:t>
            </w:r>
          </w:p>
        </w:tc>
        <w:tc>
          <w:tcPr>
            <w:tcW w:type="dxa" w:w="6912"/>
            <w:tcMar>
              <w:top w:w="80" w:type="dxa"/>
              <w:bottom w:w="80" w:type="dxa"/>
              <w:left w:w="120" w:type="dxa"/>
              <w:right w:w="120" w:type="dxa"/>
            </w:tcMar>
          </w:tcPr>
          <w:p>
            <w:r/>
            <w:r>
              <w:rPr>
                <w:sz w:val="19"/>
              </w:rPr>
              <w:t>121-150 days past due</w:t>
            </w:r>
          </w:p>
        </w:tc>
      </w:tr>
      <w:tr>
        <w:tc>
          <w:tcPr>
            <w:tcW w:type="dxa" w:w="2304"/>
            <w:tcMar>
              <w:top w:w="80" w:type="dxa"/>
              <w:bottom w:w="80" w:type="dxa"/>
              <w:left w:w="120" w:type="dxa"/>
              <w:right w:w="120" w:type="dxa"/>
            </w:tcMar>
          </w:tcPr>
          <w:p>
            <w:r/>
            <w:r>
              <w:rPr>
                <w:sz w:val="19"/>
              </w:rPr>
              <w:t>&gt;= 151</w:t>
            </w:r>
          </w:p>
        </w:tc>
        <w:tc>
          <w:tcPr>
            <w:tcW w:type="dxa" w:w="6912"/>
            <w:tcMar>
              <w:top w:w="80" w:type="dxa"/>
              <w:bottom w:w="80" w:type="dxa"/>
              <w:left w:w="120" w:type="dxa"/>
              <w:right w:w="120" w:type="dxa"/>
            </w:tcMar>
          </w:tcPr>
          <w:p>
            <w:r/>
            <w:r>
              <w:rPr>
                <w:sz w:val="19"/>
              </w:rPr>
              <w:t>151 days or more past due - very high risk</w:t>
            </w:r>
          </w:p>
        </w:tc>
      </w:tr>
    </w:tbl>
    <w:p/>
    <w:p>
      <w:pPr>
        <w:pStyle w:val="Heading2"/>
      </w:pPr>
      <w:r>
        <w:t>0.3 What is a "provision"?</w:t>
      </w:r>
    </w:p>
    <w:p>
      <w:pPr>
        <w:spacing w:after="120"/>
      </w:pPr>
      <w:r>
        <w:rPr>
          <w:b w:val="0"/>
          <w:i w:val="0"/>
        </w:rPr>
        <w:t>Accounting rules require a company to estimate, in advance, how much of its AR it expects to never collect - and to record that estimate as an expense right now, before the money is actually confirmed lost. That estimated future loss is called the provision (in full, the "provision for doubtful debts" or "provision for bad debts"). It is a forecast, re-calculated regularly, that says: "if we collected nothing else from this AR balance, here is roughly how much of it we would have to write off."</w:t>
      </w:r>
    </w:p>
    <w:p>
      <w:pPr>
        <w:spacing w:after="120"/>
      </w:pPr>
      <w:r>
        <w:rPr>
          <w:b w:val="0"/>
          <w:i w:val="0"/>
        </w:rPr>
        <w:t>The provision is estimated using the aging buckets from section 0.2: the older an invoice is, the higher the percentage of it we assume is lost. Both tools use the same rate table:</w:t>
      </w:r>
    </w:p>
    <w:tbl>
      <w:tblPr>
        <w:tblStyle w:val="LightGrid-Accent1"/>
        <w:tblW w:type="auto" w:w="0"/>
        <w:jc w:val="center"/>
        <w:tblLook w:firstColumn="1" w:firstRow="1" w:lastColumn="0" w:lastRow="0" w:noHBand="0" w:noVBand="1" w:val="04A0"/>
      </w:tblPr>
      <w:tblGrid>
        <w:gridCol w:w="3249"/>
        <w:gridCol w:w="3249"/>
        <w:gridCol w:w="3249"/>
      </w:tblGrid>
      <w:tr>
        <w:tc>
          <w:tcPr>
            <w:tcW w:type="dxa" w:w="2304"/>
            <w:shd w:val="clear" w:color="auto" w:fill="1F3A5F"/>
            <w:tcMar>
              <w:top w:w="80" w:type="dxa"/>
              <w:bottom w:w="80" w:type="dxa"/>
              <w:left w:w="120" w:type="dxa"/>
              <w:right w:w="120" w:type="dxa"/>
            </w:tcMar>
          </w:tcPr>
          <w:p>
            <w:r/>
            <w:r>
              <w:rPr>
                <w:b/>
                <w:color w:val="FFFFFF"/>
              </w:rPr>
              <w:t>Bucket</w:t>
            </w:r>
          </w:p>
        </w:tc>
        <w:tc>
          <w:tcPr>
            <w:tcW w:type="dxa" w:w="2304"/>
            <w:shd w:val="clear" w:color="auto" w:fill="1F3A5F"/>
            <w:tcMar>
              <w:top w:w="80" w:type="dxa"/>
              <w:bottom w:w="80" w:type="dxa"/>
              <w:left w:w="120" w:type="dxa"/>
              <w:right w:w="120" w:type="dxa"/>
            </w:tcMar>
          </w:tcPr>
          <w:p>
            <w:r/>
            <w:r>
              <w:rPr>
                <w:b/>
                <w:color w:val="FFFFFF"/>
              </w:rPr>
              <w:t>Provision rate</w:t>
            </w:r>
          </w:p>
        </w:tc>
        <w:tc>
          <w:tcPr>
            <w:tcW w:type="dxa" w:w="4608"/>
            <w:shd w:val="clear" w:color="auto" w:fill="1F3A5F"/>
            <w:tcMar>
              <w:top w:w="80" w:type="dxa"/>
              <w:bottom w:w="80" w:type="dxa"/>
              <w:left w:w="120" w:type="dxa"/>
              <w:right w:w="120" w:type="dxa"/>
            </w:tcMar>
          </w:tcPr>
          <w:p>
            <w:r/>
            <w:r>
              <w:rPr>
                <w:b/>
                <w:color w:val="FFFFFF"/>
              </w:rPr>
              <w:t>Why</w:t>
            </w:r>
          </w:p>
        </w:tc>
      </w:tr>
      <w:tr>
        <w:tc>
          <w:tcPr>
            <w:tcW w:type="dxa" w:w="2304"/>
            <w:tcMar>
              <w:top w:w="80" w:type="dxa"/>
              <w:bottom w:w="80" w:type="dxa"/>
              <w:left w:w="120" w:type="dxa"/>
              <w:right w:w="120" w:type="dxa"/>
            </w:tcMar>
          </w:tcPr>
          <w:p>
            <w:r/>
            <w:r>
              <w:rPr>
                <w:sz w:val="19"/>
              </w:rPr>
              <w:t>Not Due</w:t>
            </w:r>
          </w:p>
        </w:tc>
        <w:tc>
          <w:tcPr>
            <w:tcW w:type="dxa" w:w="2304"/>
            <w:tcMar>
              <w:top w:w="80" w:type="dxa"/>
              <w:bottom w:w="80" w:type="dxa"/>
              <w:left w:w="120" w:type="dxa"/>
              <w:right w:w="120" w:type="dxa"/>
            </w:tcMar>
          </w:tcPr>
          <w:p>
            <w:r/>
            <w:r>
              <w:rPr>
                <w:sz w:val="19"/>
              </w:rPr>
              <w:t>3%</w:t>
            </w:r>
          </w:p>
        </w:tc>
        <w:tc>
          <w:tcPr>
            <w:tcW w:type="dxa" w:w="4608"/>
            <w:tcMar>
              <w:top w:w="80" w:type="dxa"/>
              <w:bottom w:w="80" w:type="dxa"/>
              <w:left w:w="120" w:type="dxa"/>
              <w:right w:w="120" w:type="dxa"/>
            </w:tcMar>
          </w:tcPr>
          <w:p>
            <w:r/>
            <w:r>
              <w:rPr>
                <w:sz w:val="19"/>
              </w:rPr>
              <w:t>Small buffer even for current, healthy balances</w:t>
            </w:r>
          </w:p>
        </w:tc>
      </w:tr>
      <w:tr>
        <w:tc>
          <w:tcPr>
            <w:tcW w:type="dxa" w:w="2304"/>
            <w:tcMar>
              <w:top w:w="80" w:type="dxa"/>
              <w:bottom w:w="80" w:type="dxa"/>
              <w:left w:w="120" w:type="dxa"/>
              <w:right w:w="120" w:type="dxa"/>
            </w:tcMar>
          </w:tcPr>
          <w:p>
            <w:r/>
            <w:r>
              <w:rPr>
                <w:sz w:val="19"/>
              </w:rPr>
              <w:t>1 to 30</w:t>
            </w:r>
          </w:p>
        </w:tc>
        <w:tc>
          <w:tcPr>
            <w:tcW w:type="dxa" w:w="2304"/>
            <w:tcMar>
              <w:top w:w="80" w:type="dxa"/>
              <w:bottom w:w="80" w:type="dxa"/>
              <w:left w:w="120" w:type="dxa"/>
              <w:right w:w="120" w:type="dxa"/>
            </w:tcMar>
          </w:tcPr>
          <w:p>
            <w:r/>
            <w:r>
              <w:rPr>
                <w:sz w:val="19"/>
              </w:rPr>
              <w:t>3%</w:t>
            </w:r>
          </w:p>
        </w:tc>
        <w:tc>
          <w:tcPr>
            <w:tcW w:type="dxa" w:w="4608"/>
            <w:tcMar>
              <w:top w:w="80" w:type="dxa"/>
              <w:bottom w:w="80" w:type="dxa"/>
              <w:left w:w="120" w:type="dxa"/>
              <w:right w:w="120" w:type="dxa"/>
            </w:tcMar>
          </w:tcPr>
          <w:p>
            <w:r/>
            <w:r>
              <w:rPr>
                <w:sz w:val="19"/>
              </w:rPr>
              <w:t>Still very likely to be paid</w:t>
            </w:r>
          </w:p>
        </w:tc>
      </w:tr>
      <w:tr>
        <w:tc>
          <w:tcPr>
            <w:tcW w:type="dxa" w:w="2304"/>
            <w:tcMar>
              <w:top w:w="80" w:type="dxa"/>
              <w:bottom w:w="80" w:type="dxa"/>
              <w:left w:w="120" w:type="dxa"/>
              <w:right w:w="120" w:type="dxa"/>
            </w:tcMar>
          </w:tcPr>
          <w:p>
            <w:r/>
            <w:r>
              <w:rPr>
                <w:sz w:val="19"/>
              </w:rPr>
              <w:t>31 to 60</w:t>
            </w:r>
          </w:p>
        </w:tc>
        <w:tc>
          <w:tcPr>
            <w:tcW w:type="dxa" w:w="2304"/>
            <w:tcMar>
              <w:top w:w="80" w:type="dxa"/>
              <w:bottom w:w="80" w:type="dxa"/>
              <w:left w:w="120" w:type="dxa"/>
              <w:right w:w="120" w:type="dxa"/>
            </w:tcMar>
          </w:tcPr>
          <w:p>
            <w:r/>
            <w:r>
              <w:rPr>
                <w:sz w:val="19"/>
              </w:rPr>
              <w:t>3%</w:t>
            </w:r>
          </w:p>
        </w:tc>
        <w:tc>
          <w:tcPr>
            <w:tcW w:type="dxa" w:w="4608"/>
            <w:tcMar>
              <w:top w:w="80" w:type="dxa"/>
              <w:bottom w:w="80" w:type="dxa"/>
              <w:left w:w="120" w:type="dxa"/>
              <w:right w:w="120" w:type="dxa"/>
            </w:tcMar>
          </w:tcPr>
          <w:p>
            <w:r/>
            <w:r>
              <w:rPr>
                <w:sz w:val="19"/>
              </w:rPr>
              <w:t>Still likely to be paid</w:t>
            </w:r>
          </w:p>
        </w:tc>
      </w:tr>
      <w:tr>
        <w:tc>
          <w:tcPr>
            <w:tcW w:type="dxa" w:w="2304"/>
            <w:tcMar>
              <w:top w:w="80" w:type="dxa"/>
              <w:bottom w:w="80" w:type="dxa"/>
              <w:left w:w="120" w:type="dxa"/>
              <w:right w:w="120" w:type="dxa"/>
            </w:tcMar>
          </w:tcPr>
          <w:p>
            <w:r/>
            <w:r>
              <w:rPr>
                <w:sz w:val="19"/>
              </w:rPr>
              <w:t>61 to 90</w:t>
            </w:r>
          </w:p>
        </w:tc>
        <w:tc>
          <w:tcPr>
            <w:tcW w:type="dxa" w:w="2304"/>
            <w:tcMar>
              <w:top w:w="80" w:type="dxa"/>
              <w:bottom w:w="80" w:type="dxa"/>
              <w:left w:w="120" w:type="dxa"/>
              <w:right w:w="120" w:type="dxa"/>
            </w:tcMar>
          </w:tcPr>
          <w:p>
            <w:r/>
            <w:r>
              <w:rPr>
                <w:sz w:val="19"/>
              </w:rPr>
              <w:t>25%</w:t>
            </w:r>
          </w:p>
        </w:tc>
        <w:tc>
          <w:tcPr>
            <w:tcW w:type="dxa" w:w="4608"/>
            <w:tcMar>
              <w:top w:w="80" w:type="dxa"/>
              <w:bottom w:w="80" w:type="dxa"/>
              <w:left w:w="120" w:type="dxa"/>
              <w:right w:w="120" w:type="dxa"/>
            </w:tcMar>
          </w:tcPr>
          <w:p>
            <w:r/>
            <w:r>
              <w:rPr>
                <w:sz w:val="19"/>
              </w:rPr>
              <w:t>Risk is rising</w:t>
            </w:r>
          </w:p>
        </w:tc>
      </w:tr>
      <w:tr>
        <w:tc>
          <w:tcPr>
            <w:tcW w:type="dxa" w:w="2304"/>
            <w:tcMar>
              <w:top w:w="80" w:type="dxa"/>
              <w:bottom w:w="80" w:type="dxa"/>
              <w:left w:w="120" w:type="dxa"/>
              <w:right w:w="120" w:type="dxa"/>
            </w:tcMar>
          </w:tcPr>
          <w:p>
            <w:r/>
            <w:r>
              <w:rPr>
                <w:sz w:val="19"/>
              </w:rPr>
              <w:t>91 to 120</w:t>
            </w:r>
          </w:p>
        </w:tc>
        <w:tc>
          <w:tcPr>
            <w:tcW w:type="dxa" w:w="2304"/>
            <w:tcMar>
              <w:top w:w="80" w:type="dxa"/>
              <w:bottom w:w="80" w:type="dxa"/>
              <w:left w:w="120" w:type="dxa"/>
              <w:right w:w="120" w:type="dxa"/>
            </w:tcMar>
          </w:tcPr>
          <w:p>
            <w:r/>
            <w:r>
              <w:rPr>
                <w:sz w:val="19"/>
              </w:rPr>
              <w:t>50%</w:t>
            </w:r>
          </w:p>
        </w:tc>
        <w:tc>
          <w:tcPr>
            <w:tcW w:type="dxa" w:w="4608"/>
            <w:tcMar>
              <w:top w:w="80" w:type="dxa"/>
              <w:bottom w:w="80" w:type="dxa"/>
              <w:left w:w="120" w:type="dxa"/>
              <w:right w:w="120" w:type="dxa"/>
            </w:tcMar>
          </w:tcPr>
          <w:p>
            <w:r/>
            <w:r>
              <w:rPr>
                <w:sz w:val="19"/>
              </w:rPr>
              <w:t>Now a coin flip</w:t>
            </w:r>
          </w:p>
        </w:tc>
      </w:tr>
      <w:tr>
        <w:tc>
          <w:tcPr>
            <w:tcW w:type="dxa" w:w="2304"/>
            <w:tcMar>
              <w:top w:w="80" w:type="dxa"/>
              <w:bottom w:w="80" w:type="dxa"/>
              <w:left w:w="120" w:type="dxa"/>
              <w:right w:w="120" w:type="dxa"/>
            </w:tcMar>
          </w:tcPr>
          <w:p>
            <w:r/>
            <w:r>
              <w:rPr>
                <w:sz w:val="19"/>
              </w:rPr>
              <w:t>121 to 150</w:t>
            </w:r>
          </w:p>
        </w:tc>
        <w:tc>
          <w:tcPr>
            <w:tcW w:type="dxa" w:w="2304"/>
            <w:tcMar>
              <w:top w:w="80" w:type="dxa"/>
              <w:bottom w:w="80" w:type="dxa"/>
              <w:left w:w="120" w:type="dxa"/>
              <w:right w:w="120" w:type="dxa"/>
            </w:tcMar>
          </w:tcPr>
          <w:p>
            <w:r/>
            <w:r>
              <w:rPr>
                <w:sz w:val="19"/>
              </w:rPr>
              <w:t>75%</w:t>
            </w:r>
          </w:p>
        </w:tc>
        <w:tc>
          <w:tcPr>
            <w:tcW w:type="dxa" w:w="4608"/>
            <w:tcMar>
              <w:top w:w="80" w:type="dxa"/>
              <w:bottom w:w="80" w:type="dxa"/>
              <w:left w:w="120" w:type="dxa"/>
              <w:right w:w="120" w:type="dxa"/>
            </w:tcMar>
          </w:tcPr>
          <w:p>
            <w:r/>
            <w:r>
              <w:rPr>
                <w:sz w:val="19"/>
              </w:rPr>
              <w:t>Mostly assumed lost</w:t>
            </w:r>
          </w:p>
        </w:tc>
      </w:tr>
      <w:tr>
        <w:tc>
          <w:tcPr>
            <w:tcW w:type="dxa" w:w="2304"/>
            <w:tcMar>
              <w:top w:w="80" w:type="dxa"/>
              <w:bottom w:w="80" w:type="dxa"/>
              <w:left w:w="120" w:type="dxa"/>
              <w:right w:w="120" w:type="dxa"/>
            </w:tcMar>
          </w:tcPr>
          <w:p>
            <w:r/>
            <w:r>
              <w:rPr>
                <w:sz w:val="19"/>
              </w:rPr>
              <w:t>&gt;= 151</w:t>
            </w:r>
          </w:p>
        </w:tc>
        <w:tc>
          <w:tcPr>
            <w:tcW w:type="dxa" w:w="2304"/>
            <w:tcMar>
              <w:top w:w="80" w:type="dxa"/>
              <w:bottom w:w="80" w:type="dxa"/>
              <w:left w:w="120" w:type="dxa"/>
              <w:right w:w="120" w:type="dxa"/>
            </w:tcMar>
          </w:tcPr>
          <w:p>
            <w:r/>
            <w:r>
              <w:rPr>
                <w:sz w:val="19"/>
              </w:rPr>
              <w:t>100%</w:t>
            </w:r>
          </w:p>
        </w:tc>
        <w:tc>
          <w:tcPr>
            <w:tcW w:type="dxa" w:w="4608"/>
            <w:tcMar>
              <w:top w:w="80" w:type="dxa"/>
              <w:bottom w:w="80" w:type="dxa"/>
              <w:left w:w="120" w:type="dxa"/>
              <w:right w:w="120" w:type="dxa"/>
            </w:tcMar>
          </w:tcPr>
          <w:p>
            <w:r/>
            <w:r>
              <w:rPr>
                <w:sz w:val="19"/>
              </w:rPr>
              <w:t>Assumed a total loss</w:t>
            </w:r>
          </w:p>
        </w:tc>
      </w:tr>
    </w:tbl>
    <w:p/>
    <w:p>
      <w:pPr>
        <w:spacing w:after="120"/>
      </w:pPr>
      <w:r>
        <w:rPr>
          <w:b w:val="0"/>
          <w:i/>
        </w:rPr>
        <w:t>Provision for one customer = (amount in each bucket) x (that bucket's rate), added up across all buckets. A customer with $100,000 sitting in the &gt;=151 bucket contributes $100,000 to provision from that bucket alone, regardless of how healthy the rest of their balance looks.</w:t>
      </w:r>
    </w:p>
    <w:p>
      <w:pPr>
        <w:pStyle w:val="Heading2"/>
      </w:pPr>
      <w:r>
        <w:t>0.4 Why does provision grow on its own, even if nothing changes?</w:t>
      </w:r>
    </w:p>
    <w:tbl>
      <w:tblPr>
        <w:tblW w:type="auto" w:w="0"/>
        <w:jc w:val="center"/>
        <w:tblLook w:firstColumn="1" w:firstRow="1" w:lastColumn="0" w:lastRow="0" w:noHBand="0" w:noVBand="1" w:val="04A0"/>
      </w:tblPr>
      <w:tblGrid>
        <w:gridCol w:w="9746"/>
      </w:tblGrid>
      <w:tr>
        <w:tc>
          <w:tcPr>
            <w:tcW w:type="dxa" w:w="9746"/>
            <w:shd w:val="clear" w:color="auto" w:fill="FFF4CE"/>
            <w:tcMar>
              <w:top w:w="140" w:type="dxa"/>
              <w:bottom w:w="140" w:type="dxa"/>
              <w:left w:w="200" w:type="dxa"/>
              <w:right w:w="200" w:type="dxa"/>
            </w:tcMar>
          </w:tcPr>
          <w:p>
            <w:r>
              <w:rPr>
                <w:b/>
              </w:rPr>
              <w:t xml:space="preserve">The single most important idea in this guide:  </w:t>
            </w:r>
            <w:r>
              <w:t>Time itself is a risk factor. An invoice that is 25 days overdue today (bucket 1-30, rate 3%) will, if left unpaid, be roughly 85-115 days overdue in three months (bucket 91-120, rate 50%). Nothing about the customer changed - the money simply got older and riskier. Both tools forecast this automatic aging migration, which is why provision keeps climbing every period even without new bad news.</w:t>
            </w:r>
          </w:p>
        </w:tc>
      </w:tr>
    </w:tbl>
    <w:p/>
    <w:p>
      <w:pPr>
        <w:spacing w:after="120"/>
      </w:pPr>
      <w:r>
        <w:rPr>
          <w:b w:val="0"/>
          <w:i w:val="0"/>
        </w:rPr>
        <w:t>Part 2 (Tool 2) contains a real, Excel-verified example of exactly this: a single $10,000 balance that nobody ever collects climbs from $5,000 of provision to the full $10,000 in just two quarters, purely from the passage of time.</w:t>
      </w:r>
    </w:p>
    <w:p>
      <w:pPr>
        <w:pStyle w:val="Heading2"/>
      </w:pPr>
      <w:r>
        <w:t>0.5 Collections fight the growth</w:t>
      </w:r>
    </w:p>
    <w:p>
      <w:pPr>
        <w:spacing w:after="120"/>
      </w:pPr>
      <w:r>
        <w:rPr>
          <w:b w:val="0"/>
          <w:i w:val="0"/>
        </w:rPr>
        <w:t>The only thing that reduces provision is actually collecting money (or a customer's status improving, which these tools don't model). A credit manager forecasts "I expect to collect $X from this customer this quarter," the tool subtracts that amount from the customer's buckets, and the forecasted provision goes down. That is the whole game both tools play: type expected collections in, watch the provision forecast react.</w:t>
      </w:r>
    </w:p>
    <w:p>
      <w:pPr>
        <w:pStyle w:val="Heading2"/>
      </w:pPr>
      <w:r>
        <w:t>0.6 FIFO collection vs Specific Allocation</w:t>
      </w:r>
    </w:p>
    <w:p>
      <w:pPr>
        <w:spacing w:after="120"/>
      </w:pPr>
      <w:r>
        <w:rPr>
          <w:b/>
          <w:i w:val="0"/>
        </w:rPr>
        <w:t>FIFO</w:t>
      </w:r>
      <w:r>
        <w:rPr>
          <w:b w:val="0"/>
          <w:i w:val="0"/>
        </w:rPr>
        <w:t xml:space="preserve"> ("first in, first out") is the default rule for where a collection comes from: the tool assumes any payment reduces the </w:t>
      </w:r>
      <w:r>
        <w:rPr>
          <w:b/>
          <w:i w:val="0"/>
        </w:rPr>
        <w:t>oldest, riskiest money first</w:t>
      </w:r>
      <w:r>
        <w:rPr>
          <w:b w:val="0"/>
          <w:i w:val="0"/>
        </w:rPr>
        <w:t>. If a customer owes $100,000 in the &gt;=151 bucket and $50,000 in the 1-30 bucket, and you forecast collecting $30,000, the tool assumes that $30,000 comes out of the &gt;=151 bucket first (the most dangerous money), not the 1-30 bucket. This is the conservative, worst-case assumption and needs no extra input from you beyond the total amount.</w:t>
      </w:r>
    </w:p>
    <w:p>
      <w:pPr>
        <w:spacing w:after="120"/>
      </w:pPr>
      <w:r>
        <w:rPr>
          <w:b/>
          <w:i w:val="0"/>
        </w:rPr>
        <w:t>Specific Allocation</w:t>
      </w:r>
      <w:r>
        <w:rPr>
          <w:b w:val="0"/>
          <w:i w:val="0"/>
        </w:rPr>
        <w:t xml:space="preserve"> is the alternative: instead of letting the tool guess which bucket a payment reduces, the credit manager states it directly ("this $30,000 payment specifically clears the 31-60 bucket"). This matters when you know, for a fact, exactly which invoices a customer is about to settle. Tool 2 lets you use one or the other for a given customer and quarter - never both at once (the workbook actively blocks you from double-counting the same payment both ways).</w:t>
      </w:r>
    </w:p>
    <w:p>
      <w:pPr>
        <w:pStyle w:val="Heading2"/>
      </w:pPr>
      <w:r>
        <w:t>0.7 Credit insurance</w:t>
      </w:r>
    </w:p>
    <w:p>
      <w:pPr>
        <w:spacing w:after="120"/>
      </w:pPr>
      <w:r>
        <w:rPr>
          <w:b w:val="0"/>
          <w:i w:val="0"/>
        </w:rPr>
        <w:t>Some customers are covered by trade credit insurance: if they fail to pay, an insurance company reimburses Mindware for most of the loss (modeled here at 95%). So the insured portion of a balance is far less risky than the uninsured portion, and both tools apply a much smaller provision rate - 5% of the normal rate - to whatever part of the balance is covered by the customer's insurance limit. If the balance is bigger than the insurance limit, only the covered slice gets the discount; anything above the limit is provisioned at the normal, full rate.</w:t>
      </w:r>
    </w:p>
    <w:p>
      <w:pPr>
        <w:pStyle w:val="Heading2"/>
      </w:pPr>
      <w:r>
        <w:t>0.8 Customer status and account rules</w:t>
      </w:r>
    </w:p>
    <w:p>
      <w:pPr>
        <w:spacing w:after="120"/>
      </w:pPr>
      <w:r>
        <w:rPr>
          <w:b w:val="0"/>
          <w:i w:val="0"/>
        </w:rPr>
        <w:t>Every customer carries a status. Only some statuses are eligible to be forecast for future collections or provisioned at all - the tools treat the rest as effectively already written off or otherwise out of scope:</w:t>
      </w:r>
    </w:p>
    <w:tbl>
      <w:tblPr>
        <w:tblStyle w:val="LightGrid-Accent1"/>
        <w:tblW w:type="auto" w:w="0"/>
        <w:jc w:val="center"/>
        <w:tblLook w:firstColumn="1" w:firstRow="1" w:lastColumn="0" w:lastRow="0" w:noHBand="0" w:noVBand="1" w:val="04A0"/>
      </w:tblPr>
      <w:tblGrid>
        <w:gridCol w:w="4873"/>
        <w:gridCol w:w="4873"/>
      </w:tblGrid>
      <w:tr>
        <w:tc>
          <w:tcPr>
            <w:tcW w:type="dxa" w:w="3312"/>
            <w:shd w:val="clear" w:color="auto" w:fill="1F3A5F"/>
            <w:tcMar>
              <w:top w:w="80" w:type="dxa"/>
              <w:bottom w:w="80" w:type="dxa"/>
              <w:left w:w="120" w:type="dxa"/>
              <w:right w:w="120" w:type="dxa"/>
            </w:tcMar>
          </w:tcPr>
          <w:p>
            <w:r/>
            <w:r>
              <w:rPr>
                <w:b/>
                <w:color w:val="FFFFFF"/>
              </w:rPr>
              <w:t>Status</w:t>
            </w:r>
          </w:p>
        </w:tc>
        <w:tc>
          <w:tcPr>
            <w:tcW w:type="dxa" w:w="5904"/>
            <w:shd w:val="clear" w:color="auto" w:fill="1F3A5F"/>
            <w:tcMar>
              <w:top w:w="80" w:type="dxa"/>
              <w:bottom w:w="80" w:type="dxa"/>
              <w:left w:w="120" w:type="dxa"/>
              <w:right w:w="120" w:type="dxa"/>
            </w:tcMar>
          </w:tcPr>
          <w:p>
            <w:r/>
            <w:r>
              <w:rPr>
                <w:b/>
                <w:color w:val="FFFFFF"/>
              </w:rPr>
              <w:t>Treated as</w:t>
            </w:r>
          </w:p>
        </w:tc>
      </w:tr>
      <w:tr>
        <w:tc>
          <w:tcPr>
            <w:tcW w:type="dxa" w:w="3312"/>
            <w:tcMar>
              <w:top w:w="80" w:type="dxa"/>
              <w:bottom w:w="80" w:type="dxa"/>
              <w:left w:w="120" w:type="dxa"/>
              <w:right w:w="120" w:type="dxa"/>
            </w:tcMar>
          </w:tcPr>
          <w:p>
            <w:r/>
            <w:r>
              <w:rPr>
                <w:sz w:val="19"/>
              </w:rPr>
              <w:t>GOOD</w:t>
            </w:r>
          </w:p>
        </w:tc>
        <w:tc>
          <w:tcPr>
            <w:tcW w:type="dxa" w:w="5904"/>
            <w:tcMar>
              <w:top w:w="80" w:type="dxa"/>
              <w:bottom w:w="80" w:type="dxa"/>
              <w:left w:w="120" w:type="dxa"/>
              <w:right w:w="120" w:type="dxa"/>
            </w:tcMar>
          </w:tcPr>
          <w:p>
            <w:r/>
            <w:r>
              <w:rPr>
                <w:sz w:val="19"/>
              </w:rPr>
              <w:t>Healthy - fully eligible for forecasting and provisioning</w:t>
            </w:r>
          </w:p>
        </w:tc>
      </w:tr>
      <w:tr>
        <w:tc>
          <w:tcPr>
            <w:tcW w:type="dxa" w:w="3312"/>
            <w:tcMar>
              <w:top w:w="80" w:type="dxa"/>
              <w:bottom w:w="80" w:type="dxa"/>
              <w:left w:w="120" w:type="dxa"/>
              <w:right w:w="120" w:type="dxa"/>
            </w:tcMar>
          </w:tcPr>
          <w:p>
            <w:r/>
            <w:r>
              <w:rPr>
                <w:sz w:val="19"/>
              </w:rPr>
              <w:t>REGULAR</w:t>
            </w:r>
          </w:p>
        </w:tc>
        <w:tc>
          <w:tcPr>
            <w:tcW w:type="dxa" w:w="5904"/>
            <w:tcMar>
              <w:top w:w="80" w:type="dxa"/>
              <w:bottom w:w="80" w:type="dxa"/>
              <w:left w:w="120" w:type="dxa"/>
              <w:right w:w="120" w:type="dxa"/>
            </w:tcMar>
          </w:tcPr>
          <w:p>
            <w:r/>
            <w:r>
              <w:rPr>
                <w:sz w:val="19"/>
              </w:rPr>
              <w:t>Healthy - fully eligible</w:t>
            </w:r>
          </w:p>
        </w:tc>
      </w:tr>
      <w:tr>
        <w:tc>
          <w:tcPr>
            <w:tcW w:type="dxa" w:w="3312"/>
            <w:tcMar>
              <w:top w:w="80" w:type="dxa"/>
              <w:bottom w:w="80" w:type="dxa"/>
              <w:left w:w="120" w:type="dxa"/>
              <w:right w:w="120" w:type="dxa"/>
            </w:tcMar>
          </w:tcPr>
          <w:p>
            <w:r/>
            <w:r>
              <w:rPr>
                <w:sz w:val="19"/>
              </w:rPr>
              <w:t>SUBSTANDARD</w:t>
            </w:r>
          </w:p>
        </w:tc>
        <w:tc>
          <w:tcPr>
            <w:tcW w:type="dxa" w:w="5904"/>
            <w:tcMar>
              <w:top w:w="80" w:type="dxa"/>
              <w:bottom w:w="80" w:type="dxa"/>
              <w:left w:w="120" w:type="dxa"/>
              <w:right w:w="120" w:type="dxa"/>
            </w:tcMar>
          </w:tcPr>
          <w:p>
            <w:r/>
            <w:r>
              <w:rPr>
                <w:sz w:val="19"/>
              </w:rPr>
              <w:t>Watch-list, but still eligible (this is also the default status when none is given)</w:t>
            </w:r>
          </w:p>
        </w:tc>
      </w:tr>
      <w:tr>
        <w:tc>
          <w:tcPr>
            <w:tcW w:type="dxa" w:w="3312"/>
            <w:tcMar>
              <w:top w:w="80" w:type="dxa"/>
              <w:bottom w:w="80" w:type="dxa"/>
              <w:left w:w="120" w:type="dxa"/>
              <w:right w:w="120" w:type="dxa"/>
            </w:tcMar>
          </w:tcPr>
          <w:p>
            <w:r/>
            <w:r>
              <w:rPr>
                <w:sz w:val="19"/>
              </w:rPr>
              <w:t>DOUBTFUL / DOUB_INS_CLA</w:t>
            </w:r>
          </w:p>
        </w:tc>
        <w:tc>
          <w:tcPr>
            <w:tcW w:type="dxa" w:w="5904"/>
            <w:tcMar>
              <w:top w:w="80" w:type="dxa"/>
              <w:bottom w:w="80" w:type="dxa"/>
              <w:left w:w="120" w:type="dxa"/>
              <w:right w:w="120" w:type="dxa"/>
            </w:tcMar>
          </w:tcPr>
          <w:p>
            <w:r/>
            <w:r>
              <w:rPr>
                <w:sz w:val="19"/>
              </w:rPr>
              <w:t>Excluded from Tool 1's forward collections forecast</w:t>
            </w:r>
          </w:p>
        </w:tc>
      </w:tr>
      <w:tr>
        <w:tc>
          <w:tcPr>
            <w:tcW w:type="dxa" w:w="3312"/>
            <w:tcMar>
              <w:top w:w="80" w:type="dxa"/>
              <w:bottom w:w="80" w:type="dxa"/>
              <w:left w:w="120" w:type="dxa"/>
              <w:right w:w="120" w:type="dxa"/>
            </w:tcMar>
          </w:tcPr>
          <w:p>
            <w:r/>
            <w:r>
              <w:rPr>
                <w:sz w:val="19"/>
              </w:rPr>
              <w:t>BAD_DEBT</w:t>
            </w:r>
          </w:p>
        </w:tc>
        <w:tc>
          <w:tcPr>
            <w:tcW w:type="dxa" w:w="5904"/>
            <w:tcMar>
              <w:top w:w="80" w:type="dxa"/>
              <w:bottom w:w="80" w:type="dxa"/>
              <w:left w:w="120" w:type="dxa"/>
              <w:right w:w="120" w:type="dxa"/>
            </w:tcMar>
          </w:tcPr>
          <w:p>
            <w:r/>
            <w:r>
              <w:rPr>
                <w:sz w:val="19"/>
              </w:rPr>
              <w:t>Excluded from Tool 1's forward collections forecast</w:t>
            </w:r>
          </w:p>
        </w:tc>
      </w:tr>
    </w:tbl>
    <w:p/>
    <w:p>
      <w:pPr>
        <w:spacing w:after="120"/>
      </w:pPr>
      <w:r>
        <w:rPr>
          <w:b w:val="0"/>
          <w:i w:val="0"/>
        </w:rPr>
        <w:t>Separately, Tool 2 only calculates a provision at all for balances booked under Main Account 12301 - other main accounts (12302, 12304, 12306, etc.) always show a provision of exactly zero, by deliberate business rule, regardless of how old the balance is. Tool 1 also has its own, slightly different exclusion list for its collections forecast (see section 1.8).</w:t>
      </w:r>
    </w:p>
    <w:p>
      <w:pPr>
        <w:pStyle w:val="Heading2"/>
      </w:pPr>
      <w:r>
        <w:t>0.9 Cheat sheet</w:t>
      </w:r>
    </w:p>
    <w:tbl>
      <w:tblPr>
        <w:tblStyle w:val="LightGrid-Accent1"/>
        <w:tblW w:type="auto" w:w="0"/>
        <w:jc w:val="center"/>
        <w:tblLook w:firstColumn="1" w:firstRow="1" w:lastColumn="0" w:lastRow="0" w:noHBand="0" w:noVBand="1" w:val="04A0"/>
      </w:tblPr>
      <w:tblGrid>
        <w:gridCol w:w="4873"/>
        <w:gridCol w:w="4873"/>
      </w:tblGrid>
      <w:tr>
        <w:tc>
          <w:tcPr>
            <w:tcW w:type="dxa" w:w="2880"/>
            <w:shd w:val="clear" w:color="auto" w:fill="1F3A5F"/>
            <w:tcMar>
              <w:top w:w="80" w:type="dxa"/>
              <w:bottom w:w="80" w:type="dxa"/>
              <w:left w:w="120" w:type="dxa"/>
              <w:right w:w="120" w:type="dxa"/>
            </w:tcMar>
          </w:tcPr>
          <w:p>
            <w:r/>
            <w:r>
              <w:rPr>
                <w:b/>
                <w:color w:val="FFFFFF"/>
              </w:rPr>
              <w:t>Term</w:t>
            </w:r>
          </w:p>
        </w:tc>
        <w:tc>
          <w:tcPr>
            <w:tcW w:type="dxa" w:w="6336"/>
            <w:shd w:val="clear" w:color="auto" w:fill="1F3A5F"/>
            <w:tcMar>
              <w:top w:w="80" w:type="dxa"/>
              <w:bottom w:w="80" w:type="dxa"/>
              <w:left w:w="120" w:type="dxa"/>
              <w:right w:w="120" w:type="dxa"/>
            </w:tcMar>
          </w:tcPr>
          <w:p>
            <w:r/>
            <w:r>
              <w:rPr>
                <w:b/>
                <w:color w:val="FFFFFF"/>
              </w:rPr>
              <w:t>One-line meaning</w:t>
            </w:r>
          </w:p>
        </w:tc>
      </w:tr>
      <w:tr>
        <w:tc>
          <w:tcPr>
            <w:tcW w:type="dxa" w:w="2880"/>
            <w:tcMar>
              <w:top w:w="80" w:type="dxa"/>
              <w:bottom w:w="80" w:type="dxa"/>
              <w:left w:w="120" w:type="dxa"/>
              <w:right w:w="120" w:type="dxa"/>
            </w:tcMar>
          </w:tcPr>
          <w:p>
            <w:r/>
            <w:r>
              <w:rPr>
                <w:sz w:val="19"/>
              </w:rPr>
              <w:t>AR</w:t>
            </w:r>
          </w:p>
        </w:tc>
        <w:tc>
          <w:tcPr>
            <w:tcW w:type="dxa" w:w="6336"/>
            <w:tcMar>
              <w:top w:w="80" w:type="dxa"/>
              <w:bottom w:w="80" w:type="dxa"/>
              <w:left w:w="120" w:type="dxa"/>
              <w:right w:w="120" w:type="dxa"/>
            </w:tcMar>
          </w:tcPr>
          <w:p>
            <w:r/>
            <w:r>
              <w:rPr>
                <w:sz w:val="19"/>
              </w:rPr>
              <w:t>Total unpaid customer invoices</w:t>
            </w:r>
          </w:p>
        </w:tc>
      </w:tr>
      <w:tr>
        <w:tc>
          <w:tcPr>
            <w:tcW w:type="dxa" w:w="2880"/>
            <w:tcMar>
              <w:top w:w="80" w:type="dxa"/>
              <w:bottom w:w="80" w:type="dxa"/>
              <w:left w:w="120" w:type="dxa"/>
              <w:right w:w="120" w:type="dxa"/>
            </w:tcMar>
          </w:tcPr>
          <w:p>
            <w:r/>
            <w:r>
              <w:rPr>
                <w:sz w:val="19"/>
              </w:rPr>
              <w:t>As on Date / AR Data Date</w:t>
            </w:r>
          </w:p>
        </w:tc>
        <w:tc>
          <w:tcPr>
            <w:tcW w:type="dxa" w:w="6336"/>
            <w:tcMar>
              <w:top w:w="80" w:type="dxa"/>
              <w:bottom w:w="80" w:type="dxa"/>
              <w:left w:w="120" w:type="dxa"/>
              <w:right w:w="120" w:type="dxa"/>
            </w:tcMar>
          </w:tcPr>
          <w:p>
            <w:r/>
            <w:r>
              <w:rPr>
                <w:sz w:val="19"/>
              </w:rPr>
              <w:t>The reference "today" every aging calculation measures from</w:t>
            </w:r>
          </w:p>
        </w:tc>
      </w:tr>
      <w:tr>
        <w:tc>
          <w:tcPr>
            <w:tcW w:type="dxa" w:w="2880"/>
            <w:tcMar>
              <w:top w:w="80" w:type="dxa"/>
              <w:bottom w:w="80" w:type="dxa"/>
              <w:left w:w="120" w:type="dxa"/>
              <w:right w:w="120" w:type="dxa"/>
            </w:tcMar>
          </w:tcPr>
          <w:p>
            <w:r/>
            <w:r>
              <w:rPr>
                <w:sz w:val="19"/>
              </w:rPr>
              <w:t>Aging bucket</w:t>
            </w:r>
          </w:p>
        </w:tc>
        <w:tc>
          <w:tcPr>
            <w:tcW w:type="dxa" w:w="6336"/>
            <w:tcMar>
              <w:top w:w="80" w:type="dxa"/>
              <w:bottom w:w="80" w:type="dxa"/>
              <w:left w:w="120" w:type="dxa"/>
              <w:right w:w="120" w:type="dxa"/>
            </w:tcMar>
          </w:tcPr>
          <w:p>
            <w:r/>
            <w:r>
              <w:rPr>
                <w:sz w:val="19"/>
              </w:rPr>
              <w:t>Which overdue-days range an invoice/balance falls into</w:t>
            </w:r>
          </w:p>
        </w:tc>
      </w:tr>
      <w:tr>
        <w:tc>
          <w:tcPr>
            <w:tcW w:type="dxa" w:w="2880"/>
            <w:tcMar>
              <w:top w:w="80" w:type="dxa"/>
              <w:bottom w:w="80" w:type="dxa"/>
              <w:left w:w="120" w:type="dxa"/>
              <w:right w:w="120" w:type="dxa"/>
            </w:tcMar>
          </w:tcPr>
          <w:p>
            <w:r/>
            <w:r>
              <w:rPr>
                <w:sz w:val="19"/>
              </w:rPr>
              <w:t>Provision</w:t>
            </w:r>
          </w:p>
        </w:tc>
        <w:tc>
          <w:tcPr>
            <w:tcW w:type="dxa" w:w="6336"/>
            <w:tcMar>
              <w:top w:w="80" w:type="dxa"/>
              <w:bottom w:w="80" w:type="dxa"/>
              <w:left w:w="120" w:type="dxa"/>
              <w:right w:w="120" w:type="dxa"/>
            </w:tcMar>
          </w:tcPr>
          <w:p>
            <w:r/>
            <w:r>
              <w:rPr>
                <w:sz w:val="19"/>
              </w:rPr>
              <w:t>Forecasted expense for AR we expect to never collect</w:t>
            </w:r>
          </w:p>
        </w:tc>
      </w:tr>
      <w:tr>
        <w:tc>
          <w:tcPr>
            <w:tcW w:type="dxa" w:w="2880"/>
            <w:tcMar>
              <w:top w:w="80" w:type="dxa"/>
              <w:bottom w:w="80" w:type="dxa"/>
              <w:left w:w="120" w:type="dxa"/>
              <w:right w:w="120" w:type="dxa"/>
            </w:tcMar>
          </w:tcPr>
          <w:p>
            <w:r/>
            <w:r>
              <w:rPr>
                <w:sz w:val="19"/>
              </w:rPr>
              <w:t>FIFO collection</w:t>
            </w:r>
          </w:p>
        </w:tc>
        <w:tc>
          <w:tcPr>
            <w:tcW w:type="dxa" w:w="6336"/>
            <w:tcMar>
              <w:top w:w="80" w:type="dxa"/>
              <w:bottom w:w="80" w:type="dxa"/>
              <w:left w:w="120" w:type="dxa"/>
              <w:right w:w="120" w:type="dxa"/>
            </w:tcMar>
          </w:tcPr>
          <w:p>
            <w:r/>
            <w:r>
              <w:rPr>
                <w:sz w:val="19"/>
              </w:rPr>
              <w:t>A payment forecast assumed to hit the oldest bucket first</w:t>
            </w:r>
          </w:p>
        </w:tc>
      </w:tr>
      <w:tr>
        <w:tc>
          <w:tcPr>
            <w:tcW w:type="dxa" w:w="2880"/>
            <w:tcMar>
              <w:top w:w="80" w:type="dxa"/>
              <w:bottom w:w="80" w:type="dxa"/>
              <w:left w:w="120" w:type="dxa"/>
              <w:right w:w="120" w:type="dxa"/>
            </w:tcMar>
          </w:tcPr>
          <w:p>
            <w:r/>
            <w:r>
              <w:rPr>
                <w:sz w:val="19"/>
              </w:rPr>
              <w:t>Specific Allocation</w:t>
            </w:r>
          </w:p>
        </w:tc>
        <w:tc>
          <w:tcPr>
            <w:tcW w:type="dxa" w:w="6336"/>
            <w:tcMar>
              <w:top w:w="80" w:type="dxa"/>
              <w:bottom w:w="80" w:type="dxa"/>
              <w:left w:w="120" w:type="dxa"/>
              <w:right w:w="120" w:type="dxa"/>
            </w:tcMar>
          </w:tcPr>
          <w:p>
            <w:r/>
            <w:r>
              <w:rPr>
                <w:sz w:val="19"/>
              </w:rPr>
              <w:t>A payment forecast the manager pins to one exact bucket</w:t>
            </w:r>
          </w:p>
        </w:tc>
      </w:tr>
      <w:tr>
        <w:tc>
          <w:tcPr>
            <w:tcW w:type="dxa" w:w="2880"/>
            <w:tcMar>
              <w:top w:w="80" w:type="dxa"/>
              <w:bottom w:w="80" w:type="dxa"/>
              <w:left w:w="120" w:type="dxa"/>
              <w:right w:w="120" w:type="dxa"/>
            </w:tcMar>
          </w:tcPr>
          <w:p>
            <w:r/>
            <w:r>
              <w:rPr>
                <w:sz w:val="19"/>
              </w:rPr>
              <w:t>Insurance netting</w:t>
            </w:r>
          </w:p>
        </w:tc>
        <w:tc>
          <w:tcPr>
            <w:tcW w:type="dxa" w:w="6336"/>
            <w:tcMar>
              <w:top w:w="80" w:type="dxa"/>
              <w:bottom w:w="80" w:type="dxa"/>
              <w:left w:w="120" w:type="dxa"/>
              <w:right w:w="120" w:type="dxa"/>
            </w:tcMar>
          </w:tcPr>
          <w:p>
            <w:r/>
            <w:r>
              <w:rPr>
                <w:sz w:val="19"/>
              </w:rPr>
              <w:t>Reducing provision on the insured slice of a balance</w:t>
            </w:r>
          </w:p>
        </w:tc>
      </w:tr>
      <w:tr>
        <w:tc>
          <w:tcPr>
            <w:tcW w:type="dxa" w:w="2880"/>
            <w:tcMar>
              <w:top w:w="80" w:type="dxa"/>
              <w:bottom w:w="80" w:type="dxa"/>
              <w:left w:w="120" w:type="dxa"/>
              <w:right w:w="120" w:type="dxa"/>
            </w:tcMar>
          </w:tcPr>
          <w:p>
            <w:r/>
            <w:r>
              <w:rPr>
                <w:sz w:val="19"/>
              </w:rPr>
              <w:t>Main Ac 12301</w:t>
            </w:r>
          </w:p>
        </w:tc>
        <w:tc>
          <w:tcPr>
            <w:tcW w:type="dxa" w:w="6336"/>
            <w:tcMar>
              <w:top w:w="80" w:type="dxa"/>
              <w:bottom w:w="80" w:type="dxa"/>
              <w:left w:w="120" w:type="dxa"/>
              <w:right w:w="120" w:type="dxa"/>
            </w:tcMar>
          </w:tcPr>
          <w:p>
            <w:r/>
            <w:r>
              <w:rPr>
                <w:sz w:val="19"/>
              </w:rPr>
              <w:t>The only account type Tool 2 actually provisions</w:t>
            </w:r>
          </w:p>
        </w:tc>
      </w:tr>
    </w:tbl>
    <w:p/>
    <w:p>
      <w:r>
        <w:br w:type="page"/>
      </w:r>
    </w:p>
    <w:p>
      <w:pPr>
        <w:pStyle w:val="Heading1"/>
      </w:pPr>
      <w:r>
        <w:t>Part 1 - Tool 1: Orion (AR Backlog -&gt; By_Customer Forecast)</w:t>
      </w:r>
    </w:p>
    <w:p>
      <w:pPr>
        <w:pStyle w:val="Heading2"/>
      </w:pPr>
      <w:r>
        <w:t>1.1 What Orion does, in one sentence</w:t>
      </w:r>
    </w:p>
    <w:p>
      <w:pPr>
        <w:spacing w:after="120"/>
      </w:pPr>
      <w:r>
        <w:rPr>
          <w:b w:val="0"/>
          <w:i w:val="0"/>
        </w:rPr>
        <w:t>Orion takes a raw, invoice-by-invoice AR listing (potentially tens of thousands of rows) and turns it into one clean row per customer, with the balance sorted into aging buckets and a forward-looking collections forecast split by quarter - ready for a credit manager to review and adjust with a few typed percentages.</w:t>
      </w:r>
    </w:p>
    <w:tbl>
      <w:tblPr>
        <w:tblW w:type="auto" w:w="0"/>
        <w:jc w:val="center"/>
        <w:tblLook w:firstColumn="1" w:firstRow="1" w:lastColumn="0" w:lastRow="0" w:noHBand="0" w:noVBand="1" w:val="04A0"/>
      </w:tblPr>
      <w:tblGrid>
        <w:gridCol w:w="9746"/>
      </w:tblGrid>
      <w:tr>
        <w:tc>
          <w:tcPr>
            <w:tcW w:type="dxa" w:w="9746"/>
            <w:shd w:val="clear" w:color="auto" w:fill="EAF3EA"/>
            <w:tcMar>
              <w:top w:w="140" w:type="dxa"/>
              <w:bottom w:w="140" w:type="dxa"/>
              <w:left w:w="200" w:type="dxa"/>
              <w:right w:w="200" w:type="dxa"/>
            </w:tcMar>
          </w:tcPr>
          <w:p>
            <w:r>
              <w:rPr>
                <w:b/>
              </w:rPr>
              <w:t xml:space="preserve">In the pipeline:  </w:t>
            </w:r>
            <w:r>
              <w:t>Orion is step 1. It does NOT calculate any provision - that is Tool 2's job (Part 2). Orion's output (the By_Customer sheet) is one of Tool 2's two required uploads.</w:t>
            </w:r>
          </w:p>
        </w:tc>
      </w:tr>
    </w:tbl>
    <w:p/>
    <w:p>
      <w:pPr>
        <w:pStyle w:val="Heading2"/>
      </w:pPr>
      <w:r>
        <w:t>1.2 What you upload, and where</w:t>
      </w:r>
    </w:p>
    <w:tbl>
      <w:tblPr>
        <w:tblStyle w:val="LightGrid-Accent1"/>
        <w:tblW w:type="auto" w:w="0"/>
        <w:jc w:val="center"/>
        <w:tblLook w:firstColumn="1" w:firstRow="1" w:lastColumn="0" w:lastRow="0" w:noHBand="0" w:noVBand="1" w:val="04A0"/>
      </w:tblPr>
      <w:tblGrid>
        <w:gridCol w:w="4873"/>
        <w:gridCol w:w="4873"/>
      </w:tblGrid>
      <w:tr>
        <w:tc>
          <w:tcPr>
            <w:tcW w:type="dxa" w:w="2592"/>
            <w:shd w:val="clear" w:color="auto" w:fill="1F3A5F"/>
            <w:tcMar>
              <w:top w:w="80" w:type="dxa"/>
              <w:bottom w:w="80" w:type="dxa"/>
              <w:left w:w="120" w:type="dxa"/>
              <w:right w:w="120" w:type="dxa"/>
            </w:tcMar>
          </w:tcPr>
          <w:p>
            <w:r/>
            <w:r>
              <w:rPr>
                <w:b/>
                <w:color w:val="FFFFFF"/>
              </w:rPr>
              <w:t>Requirement</w:t>
            </w:r>
          </w:p>
        </w:tc>
        <w:tc>
          <w:tcPr>
            <w:tcW w:type="dxa" w:w="6624"/>
            <w:shd w:val="clear" w:color="auto" w:fill="1F3A5F"/>
            <w:tcMar>
              <w:top w:w="80" w:type="dxa"/>
              <w:bottom w:w="80" w:type="dxa"/>
              <w:left w:w="120" w:type="dxa"/>
              <w:right w:w="120" w:type="dxa"/>
            </w:tcMar>
          </w:tcPr>
          <w:p>
            <w:r/>
            <w:r>
              <w:rPr>
                <w:b/>
                <w:color w:val="FFFFFF"/>
              </w:rPr>
              <w:t>Detail</w:t>
            </w:r>
          </w:p>
        </w:tc>
      </w:tr>
      <w:tr>
        <w:tc>
          <w:tcPr>
            <w:tcW w:type="dxa" w:w="2592"/>
            <w:tcMar>
              <w:top w:w="80" w:type="dxa"/>
              <w:bottom w:w="80" w:type="dxa"/>
              <w:left w:w="120" w:type="dxa"/>
              <w:right w:w="120" w:type="dxa"/>
            </w:tcMar>
          </w:tcPr>
          <w:p>
            <w:r/>
            <w:r>
              <w:rPr>
                <w:sz w:val="19"/>
              </w:rPr>
              <w:t>File format</w:t>
            </w:r>
          </w:p>
        </w:tc>
        <w:tc>
          <w:tcPr>
            <w:tcW w:type="dxa" w:w="6624"/>
            <w:tcMar>
              <w:top w:w="80" w:type="dxa"/>
              <w:bottom w:w="80" w:type="dxa"/>
              <w:left w:w="120" w:type="dxa"/>
              <w:right w:w="120" w:type="dxa"/>
            </w:tcMar>
          </w:tcPr>
          <w:p>
            <w:r/>
            <w:r>
              <w:rPr>
                <w:sz w:val="19"/>
              </w:rPr>
              <w:t>.xlsx or .xls</w:t>
            </w:r>
          </w:p>
        </w:tc>
      </w:tr>
      <w:tr>
        <w:tc>
          <w:tcPr>
            <w:tcW w:type="dxa" w:w="2592"/>
            <w:tcMar>
              <w:top w:w="80" w:type="dxa"/>
              <w:bottom w:w="80" w:type="dxa"/>
              <w:left w:w="120" w:type="dxa"/>
              <w:right w:w="120" w:type="dxa"/>
            </w:tcMar>
          </w:tcPr>
          <w:p>
            <w:r/>
            <w:r>
              <w:rPr>
                <w:sz w:val="19"/>
              </w:rPr>
              <w:t>"As on Date"</w:t>
            </w:r>
          </w:p>
        </w:tc>
        <w:tc>
          <w:tcPr>
            <w:tcW w:type="dxa" w:w="6624"/>
            <w:tcMar>
              <w:top w:w="80" w:type="dxa"/>
              <w:bottom w:w="80" w:type="dxa"/>
              <w:left w:w="120" w:type="dxa"/>
              <w:right w:w="120" w:type="dxa"/>
            </w:tcMar>
          </w:tcPr>
          <w:p>
            <w:r/>
            <w:r>
              <w:rPr>
                <w:sz w:val="19"/>
              </w:rPr>
              <w:t>Must be a real date value in cell B14 - this is the single reference "today" every aging calculation in the file measures from</w:t>
            </w:r>
          </w:p>
        </w:tc>
      </w:tr>
      <w:tr>
        <w:tc>
          <w:tcPr>
            <w:tcW w:type="dxa" w:w="2592"/>
            <w:tcMar>
              <w:top w:w="80" w:type="dxa"/>
              <w:bottom w:w="80" w:type="dxa"/>
              <w:left w:w="120" w:type="dxa"/>
              <w:right w:w="120" w:type="dxa"/>
            </w:tcMar>
          </w:tcPr>
          <w:p>
            <w:r/>
            <w:r>
              <w:rPr>
                <w:sz w:val="19"/>
              </w:rPr>
              <w:t>Header row</w:t>
            </w:r>
          </w:p>
        </w:tc>
        <w:tc>
          <w:tcPr>
            <w:tcW w:type="dxa" w:w="6624"/>
            <w:tcMar>
              <w:top w:w="80" w:type="dxa"/>
              <w:bottom w:w="80" w:type="dxa"/>
              <w:left w:w="120" w:type="dxa"/>
              <w:right w:w="120" w:type="dxa"/>
            </w:tcMar>
          </w:tcPr>
          <w:p>
            <w:r/>
            <w:r>
              <w:rPr>
                <w:sz w:val="19"/>
              </w:rPr>
              <w:t>Row 16 (column titles)</w:t>
            </w:r>
          </w:p>
        </w:tc>
      </w:tr>
      <w:tr>
        <w:tc>
          <w:tcPr>
            <w:tcW w:type="dxa" w:w="2592"/>
            <w:tcMar>
              <w:top w:w="80" w:type="dxa"/>
              <w:bottom w:w="80" w:type="dxa"/>
              <w:left w:w="120" w:type="dxa"/>
              <w:right w:w="120" w:type="dxa"/>
            </w:tcMar>
          </w:tcPr>
          <w:p>
            <w:r/>
            <w:r>
              <w:rPr>
                <w:sz w:val="19"/>
              </w:rPr>
              <w:t>Data rows</w:t>
            </w:r>
          </w:p>
        </w:tc>
        <w:tc>
          <w:tcPr>
            <w:tcW w:type="dxa" w:w="6624"/>
            <w:tcMar>
              <w:top w:w="80" w:type="dxa"/>
              <w:bottom w:w="80" w:type="dxa"/>
              <w:left w:w="120" w:type="dxa"/>
              <w:right w:w="120" w:type="dxa"/>
            </w:tcMar>
          </w:tcPr>
          <w:p>
            <w:r/>
            <w:r>
              <w:rPr>
                <w:sz w:val="19"/>
              </w:rPr>
              <w:t>Row 17 onward - one row per invoice</w:t>
            </w:r>
          </w:p>
        </w:tc>
      </w:tr>
      <w:tr>
        <w:tc>
          <w:tcPr>
            <w:tcW w:type="dxa" w:w="2592"/>
            <w:tcMar>
              <w:top w:w="80" w:type="dxa"/>
              <w:bottom w:w="80" w:type="dxa"/>
              <w:left w:w="120" w:type="dxa"/>
              <w:right w:w="120" w:type="dxa"/>
            </w:tcMar>
          </w:tcPr>
          <w:p>
            <w:r/>
            <w:r>
              <w:rPr>
                <w:sz w:val="19"/>
              </w:rPr>
              <w:t>Starting Quarter</w:t>
            </w:r>
          </w:p>
        </w:tc>
        <w:tc>
          <w:tcPr>
            <w:tcW w:type="dxa" w:w="6624"/>
            <w:tcMar>
              <w:top w:w="80" w:type="dxa"/>
              <w:bottom w:w="80" w:type="dxa"/>
              <w:left w:w="120" w:type="dxa"/>
              <w:right w:w="120" w:type="dxa"/>
            </w:tcMar>
          </w:tcPr>
          <w:p>
            <w:r/>
            <w:r>
              <w:rPr>
                <w:sz w:val="19"/>
              </w:rPr>
              <w:t>A dropdown you choose before uploading: Q1, Q2, Q3, or Q4 (2026)</w:t>
            </w:r>
          </w:p>
        </w:tc>
      </w:tr>
    </w:tbl>
    <w:p/>
    <w:p>
      <w:pPr>
        <w:spacing w:after="120"/>
      </w:pPr>
      <w:r>
        <w:rPr>
          <w:b w:val="0"/>
          <w:i w:val="0"/>
        </w:rPr>
        <w:t>Key invoice-level columns Orion expects: Cust Code, Cust Name, Main Ac, Cust Region, Document Number, Document Date, Document Due Date, Ar Balance, Customer Status, and a handful of optional descriptive fields (Payment Terms, Brand, Insurance Limit, LC &amp; BG Guarantee, SO No, LPO No).</w:t>
      </w:r>
    </w:p>
    <w:p>
      <w:pPr>
        <w:pStyle w:val="Heading2"/>
      </w:pPr>
      <w:r>
        <w:t>1.3 What happens to your data - the invoice-level pass</w:t>
      </w:r>
    </w:p>
    <w:p>
      <w:pPr>
        <w:spacing w:after="120"/>
      </w:pPr>
      <w:r>
        <w:rPr>
          <w:b w:val="0"/>
          <w:i w:val="0"/>
        </w:rPr>
        <w:t>For every invoice row, Orion calculates:</w:t>
      </w:r>
    </w:p>
    <w:p>
      <w:pPr>
        <w:pStyle w:val="ListBullet"/>
      </w:pPr>
      <w:r>
        <w:rPr>
          <w:b/>
        </w:rPr>
        <w:t xml:space="preserve">  </w:t>
      </w:r>
      <w:r>
        <w:t>Ageing (days) = As on Date minus Document Date</w:t>
      </w:r>
    </w:p>
    <w:p>
      <w:pPr>
        <w:pStyle w:val="ListBullet"/>
      </w:pPr>
      <w:r>
        <w:rPr>
          <w:b/>
        </w:rPr>
        <w:t xml:space="preserve">  </w:t>
      </w:r>
      <w:r>
        <w:t>Overdue days = As on Date minus Document Due Date</w:t>
      </w:r>
    </w:p>
    <w:p>
      <w:pPr>
        <w:pStyle w:val="ListBullet"/>
      </w:pPr>
      <w:r>
        <w:rPr>
          <w:b/>
        </w:rPr>
        <w:t xml:space="preserve">  </w:t>
      </w:r>
      <w:r>
        <w:t>Aging Bracket - which of the seven buckets from section 0.2 the invoice falls into, based purely on Overdue days (never on the Starting Quarter dropdown)</w:t>
      </w:r>
    </w:p>
    <w:p>
      <w:pPr>
        <w:pStyle w:val="ListBullet"/>
      </w:pPr>
      <w:r>
        <w:rPr>
          <w:b/>
        </w:rPr>
        <w:t xml:space="preserve">  </w:t>
      </w:r>
      <w:r>
        <w:t>Region and Updated Status - standardized versions of the region/status fields (status defaults to SUBSTANDARD if left blank)</w:t>
      </w:r>
    </w:p>
    <w:p>
      <w:pPr>
        <w:spacing w:after="120"/>
      </w:pPr>
      <w:r>
        <w:rPr>
          <w:b w:val="0"/>
          <w:i w:val="0"/>
        </w:rPr>
        <w:t>The classification is first-match-wins, checked in this exact order:</w:t>
      </w:r>
    </w:p>
    <w:tbl>
      <w:tblPr>
        <w:tblStyle w:val="LightGrid-Accent1"/>
        <w:tblW w:type="auto" w:w="0"/>
        <w:jc w:val="center"/>
        <w:tblLook w:firstColumn="1" w:firstRow="1" w:lastColumn="0" w:lastRow="0" w:noHBand="0" w:noVBand="1" w:val="04A0"/>
      </w:tblPr>
      <w:tblGrid>
        <w:gridCol w:w="3249"/>
        <w:gridCol w:w="3249"/>
        <w:gridCol w:w="3249"/>
      </w:tblGrid>
      <w:tr>
        <w:tc>
          <w:tcPr>
            <w:tcW w:type="dxa" w:w="1008"/>
            <w:shd w:val="clear" w:color="auto" w:fill="1F3A5F"/>
            <w:tcMar>
              <w:top w:w="80" w:type="dxa"/>
              <w:bottom w:w="80" w:type="dxa"/>
              <w:left w:w="120" w:type="dxa"/>
              <w:right w:w="120" w:type="dxa"/>
            </w:tcMar>
          </w:tcPr>
          <w:p>
            <w:r/>
            <w:r>
              <w:rPr>
                <w:b/>
                <w:color w:val="FFFFFF"/>
              </w:rPr>
              <w:t>Priority</w:t>
            </w:r>
          </w:p>
        </w:tc>
        <w:tc>
          <w:tcPr>
            <w:tcW w:type="dxa" w:w="5328"/>
            <w:shd w:val="clear" w:color="auto" w:fill="1F3A5F"/>
            <w:tcMar>
              <w:top w:w="80" w:type="dxa"/>
              <w:bottom w:w="80" w:type="dxa"/>
              <w:left w:w="120" w:type="dxa"/>
              <w:right w:w="120" w:type="dxa"/>
            </w:tcMar>
          </w:tcPr>
          <w:p>
            <w:r/>
            <w:r>
              <w:rPr>
                <w:b/>
                <w:color w:val="FFFFFF"/>
              </w:rPr>
              <w:t>Condition</w:t>
            </w:r>
          </w:p>
        </w:tc>
        <w:tc>
          <w:tcPr>
            <w:tcW w:type="dxa" w:w="2592"/>
            <w:shd w:val="clear" w:color="auto" w:fill="1F3A5F"/>
            <w:tcMar>
              <w:top w:w="80" w:type="dxa"/>
              <w:bottom w:w="80" w:type="dxa"/>
              <w:left w:w="120" w:type="dxa"/>
              <w:right w:w="120" w:type="dxa"/>
            </w:tcMar>
          </w:tcPr>
          <w:p>
            <w:r/>
            <w:r>
              <w:rPr>
                <w:b/>
                <w:color w:val="FFFFFF"/>
              </w:rPr>
              <w:t>Result</w:t>
            </w:r>
          </w:p>
        </w:tc>
      </w:tr>
      <w:tr>
        <w:tc>
          <w:tcPr>
            <w:tcW w:type="dxa" w:w="1008"/>
            <w:tcMar>
              <w:top w:w="80" w:type="dxa"/>
              <w:bottom w:w="80" w:type="dxa"/>
              <w:left w:w="120" w:type="dxa"/>
              <w:right w:w="120" w:type="dxa"/>
            </w:tcMar>
          </w:tcPr>
          <w:p>
            <w:r/>
            <w:r>
              <w:rPr>
                <w:sz w:val="19"/>
              </w:rPr>
              <w:t>1</w:t>
            </w:r>
          </w:p>
        </w:tc>
        <w:tc>
          <w:tcPr>
            <w:tcW w:type="dxa" w:w="5328"/>
            <w:tcMar>
              <w:top w:w="80" w:type="dxa"/>
              <w:bottom w:w="80" w:type="dxa"/>
              <w:left w:w="120" w:type="dxa"/>
              <w:right w:w="120" w:type="dxa"/>
            </w:tcMar>
          </w:tcPr>
          <w:p>
            <w:r/>
            <w:r>
              <w:rPr>
                <w:sz w:val="19"/>
              </w:rPr>
              <w:t>Ar Balance &lt; 0 (a credit or return)</w:t>
            </w:r>
          </w:p>
        </w:tc>
        <w:tc>
          <w:tcPr>
            <w:tcW w:type="dxa" w:w="2592"/>
            <w:tcMar>
              <w:top w:w="80" w:type="dxa"/>
              <w:bottom w:w="80" w:type="dxa"/>
              <w:left w:w="120" w:type="dxa"/>
              <w:right w:w="120" w:type="dxa"/>
            </w:tcMar>
          </w:tcPr>
          <w:p>
            <w:r/>
            <w:r>
              <w:rPr>
                <w:sz w:val="19"/>
              </w:rPr>
              <w:t>On account</w:t>
            </w:r>
          </w:p>
        </w:tc>
      </w:tr>
      <w:tr>
        <w:tc>
          <w:tcPr>
            <w:tcW w:type="dxa" w:w="1008"/>
            <w:tcMar>
              <w:top w:w="80" w:type="dxa"/>
              <w:bottom w:w="80" w:type="dxa"/>
              <w:left w:w="120" w:type="dxa"/>
              <w:right w:w="120" w:type="dxa"/>
            </w:tcMar>
          </w:tcPr>
          <w:p>
            <w:r/>
            <w:r>
              <w:rPr>
                <w:sz w:val="19"/>
              </w:rPr>
              <w:t>2</w:t>
            </w:r>
          </w:p>
        </w:tc>
        <w:tc>
          <w:tcPr>
            <w:tcW w:type="dxa" w:w="5328"/>
            <w:tcMar>
              <w:top w:w="80" w:type="dxa"/>
              <w:bottom w:w="80" w:type="dxa"/>
              <w:left w:w="120" w:type="dxa"/>
              <w:right w:w="120" w:type="dxa"/>
            </w:tcMar>
          </w:tcPr>
          <w:p>
            <w:r/>
            <w:r>
              <w:rPr>
                <w:sz w:val="19"/>
              </w:rPr>
              <w:t>Overdue days &lt; 0 (due date is in the future)</w:t>
            </w:r>
          </w:p>
        </w:tc>
        <w:tc>
          <w:tcPr>
            <w:tcW w:type="dxa" w:w="2592"/>
            <w:tcMar>
              <w:top w:w="80" w:type="dxa"/>
              <w:bottom w:w="80" w:type="dxa"/>
              <w:left w:w="120" w:type="dxa"/>
              <w:right w:w="120" w:type="dxa"/>
            </w:tcMar>
          </w:tcPr>
          <w:p>
            <w:r/>
            <w:r>
              <w:rPr>
                <w:sz w:val="19"/>
              </w:rPr>
              <w:t>Not Due</w:t>
            </w:r>
          </w:p>
        </w:tc>
      </w:tr>
      <w:tr>
        <w:tc>
          <w:tcPr>
            <w:tcW w:type="dxa" w:w="1008"/>
            <w:tcMar>
              <w:top w:w="80" w:type="dxa"/>
              <w:bottom w:w="80" w:type="dxa"/>
              <w:left w:w="120" w:type="dxa"/>
              <w:right w:w="120" w:type="dxa"/>
            </w:tcMar>
          </w:tcPr>
          <w:p>
            <w:r/>
            <w:r>
              <w:rPr>
                <w:sz w:val="19"/>
              </w:rPr>
              <w:t>3</w:t>
            </w:r>
          </w:p>
        </w:tc>
        <w:tc>
          <w:tcPr>
            <w:tcW w:type="dxa" w:w="5328"/>
            <w:tcMar>
              <w:top w:w="80" w:type="dxa"/>
              <w:bottom w:w="80" w:type="dxa"/>
              <w:left w:w="120" w:type="dxa"/>
              <w:right w:w="120" w:type="dxa"/>
            </w:tcMar>
          </w:tcPr>
          <w:p>
            <w:r/>
            <w:r>
              <w:rPr>
                <w:sz w:val="19"/>
              </w:rPr>
              <w:t>0 &lt;= Overdue days &lt;= 30</w:t>
            </w:r>
          </w:p>
        </w:tc>
        <w:tc>
          <w:tcPr>
            <w:tcW w:type="dxa" w:w="2592"/>
            <w:tcMar>
              <w:top w:w="80" w:type="dxa"/>
              <w:bottom w:w="80" w:type="dxa"/>
              <w:left w:w="120" w:type="dxa"/>
              <w:right w:w="120" w:type="dxa"/>
            </w:tcMar>
          </w:tcPr>
          <w:p>
            <w:r/>
            <w:r>
              <w:rPr>
                <w:sz w:val="19"/>
              </w:rPr>
              <w:t>Aging 1 to 30</w:t>
            </w:r>
          </w:p>
        </w:tc>
      </w:tr>
      <w:tr>
        <w:tc>
          <w:tcPr>
            <w:tcW w:type="dxa" w:w="1008"/>
            <w:tcMar>
              <w:top w:w="80" w:type="dxa"/>
              <w:bottom w:w="80" w:type="dxa"/>
              <w:left w:w="120" w:type="dxa"/>
              <w:right w:w="120" w:type="dxa"/>
            </w:tcMar>
          </w:tcPr>
          <w:p>
            <w:r/>
            <w:r>
              <w:rPr>
                <w:sz w:val="19"/>
              </w:rPr>
              <w:t>4</w:t>
            </w:r>
          </w:p>
        </w:tc>
        <w:tc>
          <w:tcPr>
            <w:tcW w:type="dxa" w:w="5328"/>
            <w:tcMar>
              <w:top w:w="80" w:type="dxa"/>
              <w:bottom w:w="80" w:type="dxa"/>
              <w:left w:w="120" w:type="dxa"/>
              <w:right w:w="120" w:type="dxa"/>
            </w:tcMar>
          </w:tcPr>
          <w:p>
            <w:r/>
            <w:r>
              <w:rPr>
                <w:sz w:val="19"/>
              </w:rPr>
              <w:t>30 &lt; Overdue days &lt;= 60</w:t>
            </w:r>
          </w:p>
        </w:tc>
        <w:tc>
          <w:tcPr>
            <w:tcW w:type="dxa" w:w="2592"/>
            <w:tcMar>
              <w:top w:w="80" w:type="dxa"/>
              <w:bottom w:w="80" w:type="dxa"/>
              <w:left w:w="120" w:type="dxa"/>
              <w:right w:w="120" w:type="dxa"/>
            </w:tcMar>
          </w:tcPr>
          <w:p>
            <w:r/>
            <w:r>
              <w:rPr>
                <w:sz w:val="19"/>
              </w:rPr>
              <w:t>Aging 31 to 60</w:t>
            </w:r>
          </w:p>
        </w:tc>
      </w:tr>
      <w:tr>
        <w:tc>
          <w:tcPr>
            <w:tcW w:type="dxa" w:w="1008"/>
            <w:tcMar>
              <w:top w:w="80" w:type="dxa"/>
              <w:bottom w:w="80" w:type="dxa"/>
              <w:left w:w="120" w:type="dxa"/>
              <w:right w:w="120" w:type="dxa"/>
            </w:tcMar>
          </w:tcPr>
          <w:p>
            <w:r/>
            <w:r>
              <w:rPr>
                <w:sz w:val="19"/>
              </w:rPr>
              <w:t>5</w:t>
            </w:r>
          </w:p>
        </w:tc>
        <w:tc>
          <w:tcPr>
            <w:tcW w:type="dxa" w:w="5328"/>
            <w:tcMar>
              <w:top w:w="80" w:type="dxa"/>
              <w:bottom w:w="80" w:type="dxa"/>
              <w:left w:w="120" w:type="dxa"/>
              <w:right w:w="120" w:type="dxa"/>
            </w:tcMar>
          </w:tcPr>
          <w:p>
            <w:r/>
            <w:r>
              <w:rPr>
                <w:sz w:val="19"/>
              </w:rPr>
              <w:t>60 &lt; Overdue days &lt;= 90</w:t>
            </w:r>
          </w:p>
        </w:tc>
        <w:tc>
          <w:tcPr>
            <w:tcW w:type="dxa" w:w="2592"/>
            <w:tcMar>
              <w:top w:w="80" w:type="dxa"/>
              <w:bottom w:w="80" w:type="dxa"/>
              <w:left w:w="120" w:type="dxa"/>
              <w:right w:w="120" w:type="dxa"/>
            </w:tcMar>
          </w:tcPr>
          <w:p>
            <w:r/>
            <w:r>
              <w:rPr>
                <w:sz w:val="19"/>
              </w:rPr>
              <w:t>Aging 61 to 90</w:t>
            </w:r>
          </w:p>
        </w:tc>
      </w:tr>
      <w:tr>
        <w:tc>
          <w:tcPr>
            <w:tcW w:type="dxa" w:w="1008"/>
            <w:tcMar>
              <w:top w:w="80" w:type="dxa"/>
              <w:bottom w:w="80" w:type="dxa"/>
              <w:left w:w="120" w:type="dxa"/>
              <w:right w:w="120" w:type="dxa"/>
            </w:tcMar>
          </w:tcPr>
          <w:p>
            <w:r/>
            <w:r>
              <w:rPr>
                <w:sz w:val="19"/>
              </w:rPr>
              <w:t>6</w:t>
            </w:r>
          </w:p>
        </w:tc>
        <w:tc>
          <w:tcPr>
            <w:tcW w:type="dxa" w:w="5328"/>
            <w:tcMar>
              <w:top w:w="80" w:type="dxa"/>
              <w:bottom w:w="80" w:type="dxa"/>
              <w:left w:w="120" w:type="dxa"/>
              <w:right w:w="120" w:type="dxa"/>
            </w:tcMar>
          </w:tcPr>
          <w:p>
            <w:r/>
            <w:r>
              <w:rPr>
                <w:sz w:val="19"/>
              </w:rPr>
              <w:t>90 &lt; Overdue days &lt;= 120</w:t>
            </w:r>
          </w:p>
        </w:tc>
        <w:tc>
          <w:tcPr>
            <w:tcW w:type="dxa" w:w="2592"/>
            <w:tcMar>
              <w:top w:w="80" w:type="dxa"/>
              <w:bottom w:w="80" w:type="dxa"/>
              <w:left w:w="120" w:type="dxa"/>
              <w:right w:w="120" w:type="dxa"/>
            </w:tcMar>
          </w:tcPr>
          <w:p>
            <w:r/>
            <w:r>
              <w:rPr>
                <w:sz w:val="19"/>
              </w:rPr>
              <w:t>Aging 91 to 120</w:t>
            </w:r>
          </w:p>
        </w:tc>
      </w:tr>
      <w:tr>
        <w:tc>
          <w:tcPr>
            <w:tcW w:type="dxa" w:w="1008"/>
            <w:tcMar>
              <w:top w:w="80" w:type="dxa"/>
              <w:bottom w:w="80" w:type="dxa"/>
              <w:left w:w="120" w:type="dxa"/>
              <w:right w:w="120" w:type="dxa"/>
            </w:tcMar>
          </w:tcPr>
          <w:p>
            <w:r/>
            <w:r>
              <w:rPr>
                <w:sz w:val="19"/>
              </w:rPr>
              <w:t>7</w:t>
            </w:r>
          </w:p>
        </w:tc>
        <w:tc>
          <w:tcPr>
            <w:tcW w:type="dxa" w:w="5328"/>
            <w:tcMar>
              <w:top w:w="80" w:type="dxa"/>
              <w:bottom w:w="80" w:type="dxa"/>
              <w:left w:w="120" w:type="dxa"/>
              <w:right w:w="120" w:type="dxa"/>
            </w:tcMar>
          </w:tcPr>
          <w:p>
            <w:r/>
            <w:r>
              <w:rPr>
                <w:sz w:val="19"/>
              </w:rPr>
              <w:t>120 &lt; Overdue days &lt;= 150</w:t>
            </w:r>
          </w:p>
        </w:tc>
        <w:tc>
          <w:tcPr>
            <w:tcW w:type="dxa" w:w="2592"/>
            <w:tcMar>
              <w:top w:w="80" w:type="dxa"/>
              <w:bottom w:w="80" w:type="dxa"/>
              <w:left w:w="120" w:type="dxa"/>
              <w:right w:w="120" w:type="dxa"/>
            </w:tcMar>
          </w:tcPr>
          <w:p>
            <w:r/>
            <w:r>
              <w:rPr>
                <w:sz w:val="19"/>
              </w:rPr>
              <w:t>Aging 121 to 150</w:t>
            </w:r>
          </w:p>
        </w:tc>
      </w:tr>
      <w:tr>
        <w:tc>
          <w:tcPr>
            <w:tcW w:type="dxa" w:w="1008"/>
            <w:tcMar>
              <w:top w:w="80" w:type="dxa"/>
              <w:bottom w:w="80" w:type="dxa"/>
              <w:left w:w="120" w:type="dxa"/>
              <w:right w:w="120" w:type="dxa"/>
            </w:tcMar>
          </w:tcPr>
          <w:p>
            <w:r/>
            <w:r>
              <w:rPr>
                <w:sz w:val="19"/>
              </w:rPr>
              <w:t>8</w:t>
            </w:r>
          </w:p>
        </w:tc>
        <w:tc>
          <w:tcPr>
            <w:tcW w:type="dxa" w:w="5328"/>
            <w:tcMar>
              <w:top w:w="80" w:type="dxa"/>
              <w:bottom w:w="80" w:type="dxa"/>
              <w:left w:w="120" w:type="dxa"/>
              <w:right w:w="120" w:type="dxa"/>
            </w:tcMar>
          </w:tcPr>
          <w:p>
            <w:r/>
            <w:r>
              <w:rPr>
                <w:sz w:val="19"/>
              </w:rPr>
              <w:t>Overdue days &gt; 150</w:t>
            </w:r>
          </w:p>
        </w:tc>
        <w:tc>
          <w:tcPr>
            <w:tcW w:type="dxa" w:w="2592"/>
            <w:tcMar>
              <w:top w:w="80" w:type="dxa"/>
              <w:bottom w:w="80" w:type="dxa"/>
              <w:left w:w="120" w:type="dxa"/>
              <w:right w:w="120" w:type="dxa"/>
            </w:tcMar>
          </w:tcPr>
          <w:p>
            <w:r/>
            <w:r>
              <w:rPr>
                <w:sz w:val="19"/>
              </w:rPr>
              <w:t>Aging &gt;=151</w:t>
            </w:r>
          </w:p>
        </w:tc>
      </w:tr>
    </w:tbl>
    <w:p/>
    <w:p>
      <w:pPr>
        <w:spacing w:after="120"/>
      </w:pPr>
      <w:r>
        <w:rPr>
          <w:b w:val="0"/>
          <w:i/>
        </w:rPr>
        <w:t>Every invoice lands in exactly one bucket - amounts are never split across buckets.</w:t>
      </w:r>
    </w:p>
    <w:p>
      <w:pPr>
        <w:pStyle w:val="Heading2"/>
      </w:pPr>
      <w:r>
        <w:t>1.4 The three output sheets</w:t>
      </w:r>
    </w:p>
    <w:tbl>
      <w:tblPr>
        <w:tblStyle w:val="LightGrid-Accent1"/>
        <w:tblW w:type="auto" w:w="0"/>
        <w:jc w:val="center"/>
        <w:tblLook w:firstColumn="1" w:firstRow="1" w:lastColumn="0" w:lastRow="0" w:noHBand="0" w:noVBand="1" w:val="04A0"/>
      </w:tblPr>
      <w:tblGrid>
        <w:gridCol w:w="3249"/>
        <w:gridCol w:w="3249"/>
        <w:gridCol w:w="3249"/>
      </w:tblGrid>
      <w:tr>
        <w:tc>
          <w:tcPr>
            <w:tcW w:type="dxa" w:w="2304"/>
            <w:shd w:val="clear" w:color="auto" w:fill="1F3A5F"/>
            <w:tcMar>
              <w:top w:w="80" w:type="dxa"/>
              <w:bottom w:w="80" w:type="dxa"/>
              <w:left w:w="120" w:type="dxa"/>
              <w:right w:w="120" w:type="dxa"/>
            </w:tcMar>
          </w:tcPr>
          <w:p>
            <w:r/>
            <w:r>
              <w:rPr>
                <w:b/>
                <w:color w:val="FFFFFF"/>
              </w:rPr>
              <w:t>Sheet</w:t>
            </w:r>
          </w:p>
        </w:tc>
        <w:tc>
          <w:tcPr>
            <w:tcW w:type="dxa" w:w="3168"/>
            <w:shd w:val="clear" w:color="auto" w:fill="1F3A5F"/>
            <w:tcMar>
              <w:top w:w="80" w:type="dxa"/>
              <w:bottom w:w="80" w:type="dxa"/>
              <w:left w:w="120" w:type="dxa"/>
              <w:right w:w="120" w:type="dxa"/>
            </w:tcMar>
          </w:tcPr>
          <w:p>
            <w:r/>
            <w:r>
              <w:rPr>
                <w:b/>
                <w:color w:val="FFFFFF"/>
              </w:rPr>
              <w:t>Grain</w:t>
            </w:r>
          </w:p>
        </w:tc>
        <w:tc>
          <w:tcPr>
            <w:tcW w:type="dxa" w:w="4320"/>
            <w:shd w:val="clear" w:color="auto" w:fill="1F3A5F"/>
            <w:tcMar>
              <w:top w:w="80" w:type="dxa"/>
              <w:bottom w:w="80" w:type="dxa"/>
              <w:left w:w="120" w:type="dxa"/>
              <w:right w:w="120" w:type="dxa"/>
            </w:tcMar>
          </w:tcPr>
          <w:p>
            <w:r/>
            <w:r>
              <w:rPr>
                <w:b/>
                <w:color w:val="FFFFFF"/>
              </w:rPr>
              <w:t>Use it for</w:t>
            </w:r>
          </w:p>
        </w:tc>
      </w:tr>
      <w:tr>
        <w:tc>
          <w:tcPr>
            <w:tcW w:type="dxa" w:w="2304"/>
            <w:tcMar>
              <w:top w:w="80" w:type="dxa"/>
              <w:bottom w:w="80" w:type="dxa"/>
              <w:left w:w="120" w:type="dxa"/>
              <w:right w:w="120" w:type="dxa"/>
            </w:tcMar>
          </w:tcPr>
          <w:p>
            <w:r/>
            <w:r>
              <w:rPr>
                <w:sz w:val="19"/>
              </w:rPr>
              <w:t>AR_Backlog</w:t>
            </w:r>
          </w:p>
        </w:tc>
        <w:tc>
          <w:tcPr>
            <w:tcW w:type="dxa" w:w="3168"/>
            <w:tcMar>
              <w:top w:w="80" w:type="dxa"/>
              <w:bottom w:w="80" w:type="dxa"/>
              <w:left w:w="120" w:type="dxa"/>
              <w:right w:w="120" w:type="dxa"/>
            </w:tcMar>
          </w:tcPr>
          <w:p>
            <w:r/>
            <w:r>
              <w:rPr>
                <w:sz w:val="19"/>
              </w:rPr>
              <w:t>One row per invoice</w:t>
            </w:r>
          </w:p>
        </w:tc>
        <w:tc>
          <w:tcPr>
            <w:tcW w:type="dxa" w:w="4320"/>
            <w:tcMar>
              <w:top w:w="80" w:type="dxa"/>
              <w:bottom w:w="80" w:type="dxa"/>
              <w:left w:w="120" w:type="dxa"/>
              <w:right w:w="120" w:type="dxa"/>
            </w:tcMar>
          </w:tcPr>
          <w:p>
            <w:r/>
            <w:r>
              <w:rPr>
                <w:sz w:val="19"/>
              </w:rPr>
              <w:t>Validating source data and reviewing aging detail</w:t>
            </w:r>
          </w:p>
        </w:tc>
      </w:tr>
      <w:tr>
        <w:tc>
          <w:tcPr>
            <w:tcW w:type="dxa" w:w="2304"/>
            <w:tcMar>
              <w:top w:w="80" w:type="dxa"/>
              <w:bottom w:w="80" w:type="dxa"/>
              <w:left w:w="120" w:type="dxa"/>
              <w:right w:w="120" w:type="dxa"/>
            </w:tcMar>
          </w:tcPr>
          <w:p>
            <w:r/>
            <w:r>
              <w:rPr>
                <w:sz w:val="19"/>
              </w:rPr>
              <w:t>By_Customer</w:t>
            </w:r>
          </w:p>
        </w:tc>
        <w:tc>
          <w:tcPr>
            <w:tcW w:type="dxa" w:w="3168"/>
            <w:tcMar>
              <w:top w:w="80" w:type="dxa"/>
              <w:bottom w:w="80" w:type="dxa"/>
              <w:left w:w="120" w:type="dxa"/>
              <w:right w:w="120" w:type="dxa"/>
            </w:tcMar>
          </w:tcPr>
          <w:p>
            <w:r/>
            <w:r>
              <w:rPr>
                <w:sz w:val="19"/>
              </w:rPr>
              <w:t>One row per customer + Main Account</w:t>
            </w:r>
          </w:p>
        </w:tc>
        <w:tc>
          <w:tcPr>
            <w:tcW w:type="dxa" w:w="4320"/>
            <w:tcMar>
              <w:top w:w="80" w:type="dxa"/>
              <w:bottom w:w="80" w:type="dxa"/>
              <w:left w:w="120" w:type="dxa"/>
              <w:right w:w="120" w:type="dxa"/>
            </w:tcMar>
          </w:tcPr>
          <w:p>
            <w:r/>
            <w:r>
              <w:rPr>
                <w:sz w:val="19"/>
              </w:rPr>
              <w:t>The primary working sheet - this is what feeds Tool 2</w:t>
            </w:r>
          </w:p>
        </w:tc>
      </w:tr>
      <w:tr>
        <w:tc>
          <w:tcPr>
            <w:tcW w:type="dxa" w:w="2304"/>
            <w:tcMar>
              <w:top w:w="80" w:type="dxa"/>
              <w:bottom w:w="80" w:type="dxa"/>
              <w:left w:w="120" w:type="dxa"/>
              <w:right w:w="120" w:type="dxa"/>
            </w:tcMar>
          </w:tcPr>
          <w:p>
            <w:r/>
            <w:r>
              <w:rPr>
                <w:sz w:val="19"/>
              </w:rPr>
              <w:t>Invoice</w:t>
            </w:r>
          </w:p>
        </w:tc>
        <w:tc>
          <w:tcPr>
            <w:tcW w:type="dxa" w:w="3168"/>
            <w:tcMar>
              <w:top w:w="80" w:type="dxa"/>
              <w:bottom w:w="80" w:type="dxa"/>
              <w:left w:w="120" w:type="dxa"/>
              <w:right w:w="120" w:type="dxa"/>
            </w:tcMar>
          </w:tcPr>
          <w:p>
            <w:r/>
            <w:r>
              <w:rPr>
                <w:sz w:val="19"/>
              </w:rPr>
              <w:t>One row per invoice (formatted subset)</w:t>
            </w:r>
          </w:p>
        </w:tc>
        <w:tc>
          <w:tcPr>
            <w:tcW w:type="dxa" w:w="4320"/>
            <w:tcMar>
              <w:top w:w="80" w:type="dxa"/>
              <w:bottom w:w="80" w:type="dxa"/>
              <w:left w:w="120" w:type="dxa"/>
              <w:right w:w="120" w:type="dxa"/>
            </w:tcMar>
          </w:tcPr>
          <w:p>
            <w:r/>
            <w:r>
              <w:rPr>
                <w:sz w:val="19"/>
              </w:rPr>
              <w:t>Detailed invoice drill-down</w:t>
            </w:r>
          </w:p>
        </w:tc>
      </w:tr>
    </w:tbl>
    <w:p/>
    <w:p>
      <w:pPr>
        <w:pStyle w:val="Heading2"/>
      </w:pPr>
      <w:r>
        <w:t>1.5 The "Starting Quarter" dropdown - what it actually changes</w:t>
      </w:r>
    </w:p>
    <w:p>
      <w:pPr>
        <w:spacing w:after="120"/>
      </w:pPr>
      <w:r>
        <w:rPr>
          <w:b w:val="0"/>
          <w:i w:val="0"/>
        </w:rPr>
        <w:t>This is the setting people misunderstand most, so read this section carefully. The Starting Quarter dropdown does NOT change which aging bucket an invoice sits in (that is fixed by the As on Date, per section 1.3). What it changes is which quarter/period columns get built in the By_Customer output, and where their date boundaries fall.</w:t>
      </w:r>
    </w:p>
    <w:p>
      <w:pPr>
        <w:spacing w:after="120"/>
      </w:pPr>
      <w:r>
        <w:rPr>
          <w:b w:val="0"/>
          <w:i w:val="0"/>
        </w:rPr>
        <w:t>Whichever quarter you select becomes the "current" quarter and always gets a clean start on the 1st of its first month (e.g. selecting Q2 gives a Q2-2026 column running 1 April to 15 June). Every quarter AFTER the current one, however, continues a chained "first-half/second-half-of-month" pattern: each quarter is split into a main period (1st to the 15th of its third month) and a two-week "tail" (16th to month-end), and the following quarter picks up exactly where that tail left off, on the 16th - not the 1st. Only the very first, currently-selected quarter gets the clean 1st-of-month start.</w:t>
      </w:r>
    </w:p>
    <w:tbl>
      <w:tblPr>
        <w:tblW w:type="auto" w:w="0"/>
        <w:jc w:val="center"/>
        <w:tblLook w:firstColumn="1" w:firstRow="1" w:lastColumn="0" w:lastRow="0" w:noHBand="0" w:noVBand="1" w:val="04A0"/>
      </w:tblPr>
      <w:tblGrid>
        <w:gridCol w:w="9746"/>
      </w:tblGrid>
      <w:tr>
        <w:tc>
          <w:tcPr>
            <w:tcW w:type="dxa" w:w="9746"/>
            <w:shd w:val="clear" w:color="auto" w:fill="FFF4CE"/>
            <w:tcMar>
              <w:top w:w="140" w:type="dxa"/>
              <w:bottom w:w="140" w:type="dxa"/>
              <w:left w:w="200" w:type="dxa"/>
              <w:right w:w="200" w:type="dxa"/>
            </w:tcMar>
          </w:tcPr>
          <w:p>
            <w:r>
              <w:rPr>
                <w:b/>
              </w:rPr>
              <w:t xml:space="preserve">Practical effect:  </w:t>
            </w:r>
            <w:r>
              <w:t>An invoice due just before the middle of a month can land in different period columns purely because you changed the Starting Quarter dropdown - not because anything about the invoice changed. The worked example below shows this directly.</w:t>
            </w:r>
          </w:p>
        </w:tc>
      </w:tr>
    </w:tbl>
    <w:p/>
    <w:tbl>
      <w:tblPr>
        <w:tblStyle w:val="LightGrid-Accent1"/>
        <w:tblW w:type="auto" w:w="0"/>
        <w:jc w:val="center"/>
        <w:tblLook w:firstColumn="1" w:firstRow="1" w:lastColumn="0" w:lastRow="0" w:noHBand="0" w:noVBand="1" w:val="04A0"/>
      </w:tblPr>
      <w:tblGrid>
        <w:gridCol w:w="3249"/>
        <w:gridCol w:w="3249"/>
        <w:gridCol w:w="3249"/>
      </w:tblGrid>
      <w:tr>
        <w:tc>
          <w:tcPr>
            <w:tcW w:type="dxa" w:w="1872"/>
            <w:shd w:val="clear" w:color="auto" w:fill="1F3A5F"/>
            <w:tcMar>
              <w:top w:w="80" w:type="dxa"/>
              <w:bottom w:w="80" w:type="dxa"/>
              <w:left w:w="120" w:type="dxa"/>
              <w:right w:w="120" w:type="dxa"/>
            </w:tcMar>
          </w:tcPr>
          <w:p>
            <w:r/>
            <w:r>
              <w:rPr>
                <w:b/>
                <w:color w:val="FFFFFF"/>
              </w:rPr>
              <w:t>Selected quarter</w:t>
            </w:r>
          </w:p>
        </w:tc>
        <w:tc>
          <w:tcPr>
            <w:tcW w:type="dxa" w:w="4176"/>
            <w:shd w:val="clear" w:color="auto" w:fill="1F3A5F"/>
            <w:tcMar>
              <w:top w:w="80" w:type="dxa"/>
              <w:bottom w:w="80" w:type="dxa"/>
              <w:left w:w="120" w:type="dxa"/>
              <w:right w:w="120" w:type="dxa"/>
            </w:tcMar>
          </w:tcPr>
          <w:p>
            <w:r/>
            <w:r>
              <w:rPr>
                <w:b/>
                <w:color w:val="FFFFFF"/>
              </w:rPr>
              <w:t>Current period (clean 1st-of-month start)</w:t>
            </w:r>
          </w:p>
        </w:tc>
        <w:tc>
          <w:tcPr>
            <w:tcW w:type="dxa" w:w="2592"/>
            <w:shd w:val="clear" w:color="auto" w:fill="1F3A5F"/>
            <w:tcMar>
              <w:top w:w="80" w:type="dxa"/>
              <w:bottom w:w="80" w:type="dxa"/>
              <w:left w:w="120" w:type="dxa"/>
              <w:right w:w="120" w:type="dxa"/>
            </w:tcMar>
          </w:tcPr>
          <w:p>
            <w:r/>
            <w:r>
              <w:rPr>
                <w:b/>
                <w:color w:val="FFFFFF"/>
              </w:rPr>
              <w:t>Tail period</w:t>
            </w:r>
          </w:p>
        </w:tc>
      </w:tr>
      <w:tr>
        <w:tc>
          <w:tcPr>
            <w:tcW w:type="dxa" w:w="1872"/>
            <w:tcMar>
              <w:top w:w="80" w:type="dxa"/>
              <w:bottom w:w="80" w:type="dxa"/>
              <w:left w:w="120" w:type="dxa"/>
              <w:right w:w="120" w:type="dxa"/>
            </w:tcMar>
          </w:tcPr>
          <w:p>
            <w:r/>
            <w:r>
              <w:rPr>
                <w:sz w:val="19"/>
              </w:rPr>
              <w:t>Q1</w:t>
            </w:r>
          </w:p>
        </w:tc>
        <w:tc>
          <w:tcPr>
            <w:tcW w:type="dxa" w:w="4176"/>
            <w:tcMar>
              <w:top w:w="80" w:type="dxa"/>
              <w:bottom w:w="80" w:type="dxa"/>
              <w:left w:w="120" w:type="dxa"/>
              <w:right w:w="120" w:type="dxa"/>
            </w:tcMar>
          </w:tcPr>
          <w:p>
            <w:r/>
            <w:r>
              <w:rPr>
                <w:sz w:val="19"/>
              </w:rPr>
              <w:t>Q1-2026: 1 Jan - 15 Mar</w:t>
            </w:r>
          </w:p>
        </w:tc>
        <w:tc>
          <w:tcPr>
            <w:tcW w:type="dxa" w:w="2592"/>
            <w:tcMar>
              <w:top w:w="80" w:type="dxa"/>
              <w:bottom w:w="80" w:type="dxa"/>
              <w:left w:w="120" w:type="dxa"/>
              <w:right w:w="120" w:type="dxa"/>
            </w:tcMar>
          </w:tcPr>
          <w:p>
            <w:r/>
            <w:r>
              <w:rPr>
                <w:sz w:val="19"/>
              </w:rPr>
              <w:t>Q1 tail: 16-31 Mar</w:t>
            </w:r>
          </w:p>
        </w:tc>
      </w:tr>
      <w:tr>
        <w:tc>
          <w:tcPr>
            <w:tcW w:type="dxa" w:w="1872"/>
            <w:tcMar>
              <w:top w:w="80" w:type="dxa"/>
              <w:bottom w:w="80" w:type="dxa"/>
              <w:left w:w="120" w:type="dxa"/>
              <w:right w:w="120" w:type="dxa"/>
            </w:tcMar>
          </w:tcPr>
          <w:p>
            <w:r/>
            <w:r>
              <w:rPr>
                <w:sz w:val="19"/>
              </w:rPr>
              <w:t>Q2</w:t>
            </w:r>
          </w:p>
        </w:tc>
        <w:tc>
          <w:tcPr>
            <w:tcW w:type="dxa" w:w="4176"/>
            <w:tcMar>
              <w:top w:w="80" w:type="dxa"/>
              <w:bottom w:w="80" w:type="dxa"/>
              <w:left w:w="120" w:type="dxa"/>
              <w:right w:w="120" w:type="dxa"/>
            </w:tcMar>
          </w:tcPr>
          <w:p>
            <w:r/>
            <w:r>
              <w:rPr>
                <w:sz w:val="19"/>
              </w:rPr>
              <w:t>Q2-2026: 1 Apr - 15 Jun</w:t>
            </w:r>
          </w:p>
        </w:tc>
        <w:tc>
          <w:tcPr>
            <w:tcW w:type="dxa" w:w="2592"/>
            <w:tcMar>
              <w:top w:w="80" w:type="dxa"/>
              <w:bottom w:w="80" w:type="dxa"/>
              <w:left w:w="120" w:type="dxa"/>
              <w:right w:w="120" w:type="dxa"/>
            </w:tcMar>
          </w:tcPr>
          <w:p>
            <w:r/>
            <w:r>
              <w:rPr>
                <w:sz w:val="19"/>
              </w:rPr>
              <w:t>Q2 tail: 16-30 Jun</w:t>
            </w:r>
          </w:p>
        </w:tc>
      </w:tr>
      <w:tr>
        <w:tc>
          <w:tcPr>
            <w:tcW w:type="dxa" w:w="1872"/>
            <w:tcMar>
              <w:top w:w="80" w:type="dxa"/>
              <w:bottom w:w="80" w:type="dxa"/>
              <w:left w:w="120" w:type="dxa"/>
              <w:right w:w="120" w:type="dxa"/>
            </w:tcMar>
          </w:tcPr>
          <w:p>
            <w:r/>
            <w:r>
              <w:rPr>
                <w:sz w:val="19"/>
              </w:rPr>
              <w:t>Q3</w:t>
            </w:r>
          </w:p>
        </w:tc>
        <w:tc>
          <w:tcPr>
            <w:tcW w:type="dxa" w:w="4176"/>
            <w:tcMar>
              <w:top w:w="80" w:type="dxa"/>
              <w:bottom w:w="80" w:type="dxa"/>
              <w:left w:w="120" w:type="dxa"/>
              <w:right w:w="120" w:type="dxa"/>
            </w:tcMar>
          </w:tcPr>
          <w:p>
            <w:r/>
            <w:r>
              <w:rPr>
                <w:sz w:val="19"/>
              </w:rPr>
              <w:t>Q3-2026: 1 Jul - 15 Sep</w:t>
            </w:r>
          </w:p>
        </w:tc>
        <w:tc>
          <w:tcPr>
            <w:tcW w:type="dxa" w:w="2592"/>
            <w:tcMar>
              <w:top w:w="80" w:type="dxa"/>
              <w:bottom w:w="80" w:type="dxa"/>
              <w:left w:w="120" w:type="dxa"/>
              <w:right w:w="120" w:type="dxa"/>
            </w:tcMar>
          </w:tcPr>
          <w:p>
            <w:r/>
            <w:r>
              <w:rPr>
                <w:sz w:val="19"/>
              </w:rPr>
              <w:t>Q3 tail: 16-30 Sep</w:t>
            </w:r>
          </w:p>
        </w:tc>
      </w:tr>
      <w:tr>
        <w:tc>
          <w:tcPr>
            <w:tcW w:type="dxa" w:w="1872"/>
            <w:tcMar>
              <w:top w:w="80" w:type="dxa"/>
              <w:bottom w:w="80" w:type="dxa"/>
              <w:left w:w="120" w:type="dxa"/>
              <w:right w:w="120" w:type="dxa"/>
            </w:tcMar>
          </w:tcPr>
          <w:p>
            <w:r/>
            <w:r>
              <w:rPr>
                <w:sz w:val="19"/>
              </w:rPr>
              <w:t>Q4</w:t>
            </w:r>
          </w:p>
        </w:tc>
        <w:tc>
          <w:tcPr>
            <w:tcW w:type="dxa" w:w="4176"/>
            <w:tcMar>
              <w:top w:w="80" w:type="dxa"/>
              <w:bottom w:w="80" w:type="dxa"/>
              <w:left w:w="120" w:type="dxa"/>
              <w:right w:w="120" w:type="dxa"/>
            </w:tcMar>
          </w:tcPr>
          <w:p>
            <w:r/>
            <w:r>
              <w:rPr>
                <w:sz w:val="19"/>
              </w:rPr>
              <w:t>Q4-2026: 1 Oct - 15 Dec</w:t>
            </w:r>
          </w:p>
        </w:tc>
        <w:tc>
          <w:tcPr>
            <w:tcW w:type="dxa" w:w="2592"/>
            <w:tcMar>
              <w:top w:w="80" w:type="dxa"/>
              <w:bottom w:w="80" w:type="dxa"/>
              <w:left w:w="120" w:type="dxa"/>
              <w:right w:w="120" w:type="dxa"/>
            </w:tcMar>
          </w:tcPr>
          <w:p>
            <w:r/>
            <w:r>
              <w:rPr>
                <w:sz w:val="19"/>
              </w:rPr>
              <w:t>Q4 tail: 16-31 Dec</w:t>
            </w:r>
          </w:p>
        </w:tc>
      </w:tr>
    </w:tbl>
    <w:p/>
    <w:p>
      <w:pPr>
        <w:spacing w:after="120"/>
      </w:pPr>
      <w:r>
        <w:rPr>
          <w:b w:val="0"/>
          <w:i w:val="0"/>
        </w:rPr>
        <w:t>Also important: once you move the Starting Quarter dropdown forward (say, to Q3), invoices due before that quarter's start simply do not appear in ANY period/forecast column - they are treated as already past and outside the forecast window. They still count fully in the aging-bucket totals (so credit risk on them stays visible), just not in the forward collections forecast.</w:t>
      </w:r>
    </w:p>
    <w:p>
      <w:r>
        <w:br w:type="page"/>
      </w:r>
    </w:p>
    <w:p>
      <w:pPr>
        <w:pStyle w:val="Heading2"/>
      </w:pPr>
      <w:r>
        <w:t>1.6 Worked example: the same invoices, four different quarter selections</w:t>
      </w:r>
    </w:p>
    <w:p>
      <w:pPr>
        <w:spacing w:after="120"/>
      </w:pPr>
      <w:r>
        <w:rPr>
          <w:b w:val="0"/>
          <w:i w:val="0"/>
        </w:rPr>
        <w:t>One customer, Al Noor Trading (Cust Code CN100, Main Ac 12301, Region KSA, Status GOOD), As on Date fixed at 12 April 2026, with four invoices:</w:t>
      </w:r>
    </w:p>
    <w:tbl>
      <w:tblPr>
        <w:tblStyle w:val="LightGrid-Accent1"/>
        <w:tblW w:type="auto" w:w="0"/>
        <w:jc w:val="center"/>
        <w:tblLook w:firstColumn="1" w:firstRow="1" w:lastColumn="0" w:lastRow="0" w:noHBand="0" w:noVBand="1" w:val="04A0"/>
      </w:tblPr>
      <w:tblGrid>
        <w:gridCol w:w="3249"/>
        <w:gridCol w:w="3249"/>
        <w:gridCol w:w="3249"/>
      </w:tblGrid>
      <w:tr>
        <w:tc>
          <w:tcPr>
            <w:tcW w:type="dxa" w:w="2016"/>
            <w:shd w:val="clear" w:color="auto" w:fill="1F3A5F"/>
            <w:tcMar>
              <w:top w:w="80" w:type="dxa"/>
              <w:bottom w:w="80" w:type="dxa"/>
              <w:left w:w="120" w:type="dxa"/>
              <w:right w:w="120" w:type="dxa"/>
            </w:tcMar>
          </w:tcPr>
          <w:p>
            <w:r/>
            <w:r>
              <w:rPr>
                <w:b/>
                <w:color w:val="FFFFFF"/>
              </w:rPr>
              <w:t>Invoice</w:t>
            </w:r>
          </w:p>
        </w:tc>
        <w:tc>
          <w:tcPr>
            <w:tcW w:type="dxa" w:w="2592"/>
            <w:shd w:val="clear" w:color="auto" w:fill="1F3A5F"/>
            <w:tcMar>
              <w:top w:w="80" w:type="dxa"/>
              <w:bottom w:w="80" w:type="dxa"/>
              <w:left w:w="120" w:type="dxa"/>
              <w:right w:w="120" w:type="dxa"/>
            </w:tcMar>
          </w:tcPr>
          <w:p>
            <w:r/>
            <w:r>
              <w:rPr>
                <w:b/>
                <w:color w:val="FFFFFF"/>
              </w:rPr>
              <w:t>Due date</w:t>
            </w:r>
          </w:p>
        </w:tc>
        <w:tc>
          <w:tcPr>
            <w:tcW w:type="dxa" w:w="2304"/>
            <w:shd w:val="clear" w:color="auto" w:fill="1F3A5F"/>
            <w:tcMar>
              <w:top w:w="80" w:type="dxa"/>
              <w:bottom w:w="80" w:type="dxa"/>
              <w:left w:w="120" w:type="dxa"/>
              <w:right w:w="120" w:type="dxa"/>
            </w:tcMar>
          </w:tcPr>
          <w:p>
            <w:r/>
            <w:r>
              <w:rPr>
                <w:b/>
                <w:color w:val="FFFFFF"/>
              </w:rPr>
              <w:t>Amount</w:t>
            </w:r>
          </w:p>
        </w:tc>
      </w:tr>
      <w:tr>
        <w:tc>
          <w:tcPr>
            <w:tcW w:type="dxa" w:w="2016"/>
            <w:tcMar>
              <w:top w:w="80" w:type="dxa"/>
              <w:bottom w:w="80" w:type="dxa"/>
              <w:left w:w="120" w:type="dxa"/>
              <w:right w:w="120" w:type="dxa"/>
            </w:tcMar>
          </w:tcPr>
          <w:p>
            <w:r/>
            <w:r>
              <w:rPr>
                <w:sz w:val="19"/>
              </w:rPr>
              <w:t>INV-001</w:t>
            </w:r>
          </w:p>
        </w:tc>
        <w:tc>
          <w:tcPr>
            <w:tcW w:type="dxa" w:w="2592"/>
            <w:tcMar>
              <w:top w:w="80" w:type="dxa"/>
              <w:bottom w:w="80" w:type="dxa"/>
              <w:left w:w="120" w:type="dxa"/>
              <w:right w:w="120" w:type="dxa"/>
            </w:tcMar>
          </w:tcPr>
          <w:p>
            <w:r/>
            <w:r>
              <w:rPr>
                <w:sz w:val="19"/>
              </w:rPr>
              <w:t>20 Feb 2026</w:t>
            </w:r>
          </w:p>
        </w:tc>
        <w:tc>
          <w:tcPr>
            <w:tcW w:type="dxa" w:w="2304"/>
            <w:tcMar>
              <w:top w:w="80" w:type="dxa"/>
              <w:bottom w:w="80" w:type="dxa"/>
              <w:left w:w="120" w:type="dxa"/>
              <w:right w:w="120" w:type="dxa"/>
            </w:tcMar>
          </w:tcPr>
          <w:p>
            <w:r/>
            <w:r>
              <w:rPr>
                <w:sz w:val="19"/>
              </w:rPr>
              <w:t>40,000</w:t>
            </w:r>
          </w:p>
        </w:tc>
      </w:tr>
      <w:tr>
        <w:tc>
          <w:tcPr>
            <w:tcW w:type="dxa" w:w="2016"/>
            <w:tcMar>
              <w:top w:w="80" w:type="dxa"/>
              <w:bottom w:w="80" w:type="dxa"/>
              <w:left w:w="120" w:type="dxa"/>
              <w:right w:w="120" w:type="dxa"/>
            </w:tcMar>
          </w:tcPr>
          <w:p>
            <w:r/>
            <w:r>
              <w:rPr>
                <w:sz w:val="19"/>
              </w:rPr>
              <w:t>INV-002</w:t>
            </w:r>
          </w:p>
        </w:tc>
        <w:tc>
          <w:tcPr>
            <w:tcW w:type="dxa" w:w="2592"/>
            <w:tcMar>
              <w:top w:w="80" w:type="dxa"/>
              <w:bottom w:w="80" w:type="dxa"/>
              <w:left w:w="120" w:type="dxa"/>
              <w:right w:w="120" w:type="dxa"/>
            </w:tcMar>
          </w:tcPr>
          <w:p>
            <w:r/>
            <w:r>
              <w:rPr>
                <w:sz w:val="19"/>
              </w:rPr>
              <w:t>30 Apr 2026</w:t>
            </w:r>
          </w:p>
        </w:tc>
        <w:tc>
          <w:tcPr>
            <w:tcW w:type="dxa" w:w="2304"/>
            <w:tcMar>
              <w:top w:w="80" w:type="dxa"/>
              <w:bottom w:w="80" w:type="dxa"/>
              <w:left w:w="120" w:type="dxa"/>
              <w:right w:w="120" w:type="dxa"/>
            </w:tcMar>
          </w:tcPr>
          <w:p>
            <w:r/>
            <w:r>
              <w:rPr>
                <w:sz w:val="19"/>
              </w:rPr>
              <w:t>100,000</w:t>
            </w:r>
          </w:p>
        </w:tc>
      </w:tr>
      <w:tr>
        <w:tc>
          <w:tcPr>
            <w:tcW w:type="dxa" w:w="2016"/>
            <w:tcMar>
              <w:top w:w="80" w:type="dxa"/>
              <w:bottom w:w="80" w:type="dxa"/>
              <w:left w:w="120" w:type="dxa"/>
              <w:right w:w="120" w:type="dxa"/>
            </w:tcMar>
          </w:tcPr>
          <w:p>
            <w:r/>
            <w:r>
              <w:rPr>
                <w:sz w:val="19"/>
              </w:rPr>
              <w:t>INV-003</w:t>
            </w:r>
          </w:p>
        </w:tc>
        <w:tc>
          <w:tcPr>
            <w:tcW w:type="dxa" w:w="2592"/>
            <w:tcMar>
              <w:top w:w="80" w:type="dxa"/>
              <w:bottom w:w="80" w:type="dxa"/>
              <w:left w:w="120" w:type="dxa"/>
              <w:right w:w="120" w:type="dxa"/>
            </w:tcMar>
          </w:tcPr>
          <w:p>
            <w:r/>
            <w:r>
              <w:rPr>
                <w:sz w:val="19"/>
              </w:rPr>
              <w:t>15 May 2026</w:t>
            </w:r>
          </w:p>
        </w:tc>
        <w:tc>
          <w:tcPr>
            <w:tcW w:type="dxa" w:w="2304"/>
            <w:tcMar>
              <w:top w:w="80" w:type="dxa"/>
              <w:bottom w:w="80" w:type="dxa"/>
              <w:left w:w="120" w:type="dxa"/>
              <w:right w:w="120" w:type="dxa"/>
            </w:tcMar>
          </w:tcPr>
          <w:p>
            <w:r/>
            <w:r>
              <w:rPr>
                <w:sz w:val="19"/>
              </w:rPr>
              <w:t>50,000</w:t>
            </w:r>
          </w:p>
        </w:tc>
      </w:tr>
      <w:tr>
        <w:tc>
          <w:tcPr>
            <w:tcW w:type="dxa" w:w="2016"/>
            <w:tcMar>
              <w:top w:w="80" w:type="dxa"/>
              <w:bottom w:w="80" w:type="dxa"/>
              <w:left w:w="120" w:type="dxa"/>
              <w:right w:w="120" w:type="dxa"/>
            </w:tcMar>
          </w:tcPr>
          <w:p>
            <w:r/>
            <w:r>
              <w:rPr>
                <w:sz w:val="19"/>
              </w:rPr>
              <w:t>INV-004</w:t>
            </w:r>
          </w:p>
        </w:tc>
        <w:tc>
          <w:tcPr>
            <w:tcW w:type="dxa" w:w="2592"/>
            <w:tcMar>
              <w:top w:w="80" w:type="dxa"/>
              <w:bottom w:w="80" w:type="dxa"/>
              <w:left w:w="120" w:type="dxa"/>
              <w:right w:w="120" w:type="dxa"/>
            </w:tcMar>
          </w:tcPr>
          <w:p>
            <w:r/>
            <w:r>
              <w:rPr>
                <w:sz w:val="19"/>
              </w:rPr>
              <w:t>10 Jul 2026</w:t>
            </w:r>
          </w:p>
        </w:tc>
        <w:tc>
          <w:tcPr>
            <w:tcW w:type="dxa" w:w="2304"/>
            <w:tcMar>
              <w:top w:w="80" w:type="dxa"/>
              <w:bottom w:w="80" w:type="dxa"/>
              <w:left w:w="120" w:type="dxa"/>
              <w:right w:w="120" w:type="dxa"/>
            </w:tcMar>
          </w:tcPr>
          <w:p>
            <w:r/>
            <w:r>
              <w:rPr>
                <w:sz w:val="19"/>
              </w:rPr>
              <w:t>75,000</w:t>
            </w:r>
          </w:p>
        </w:tc>
      </w:tr>
    </w:tbl>
    <w:p/>
    <w:p>
      <w:pPr>
        <w:spacing w:after="120"/>
      </w:pPr>
      <w:r>
        <w:rPr>
          <w:b w:val="0"/>
          <w:i w:val="0"/>
        </w:rPr>
        <w:t>Total AR balance = 265,000. Aging brackets, calculated once from the As on Date and never affected by the Starting Quarter dropdown: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872"/>
            <w:shd w:val="clear" w:color="auto" w:fill="1F3A5F"/>
            <w:tcMar>
              <w:top w:w="80" w:type="dxa"/>
              <w:bottom w:w="80" w:type="dxa"/>
              <w:left w:w="120" w:type="dxa"/>
              <w:right w:w="120" w:type="dxa"/>
            </w:tcMar>
          </w:tcPr>
          <w:p>
            <w:r/>
            <w:r>
              <w:rPr>
                <w:b/>
                <w:color w:val="FFFFFF"/>
              </w:rPr>
              <w:t>Invoice</w:t>
            </w:r>
          </w:p>
        </w:tc>
        <w:tc>
          <w:tcPr>
            <w:tcW w:type="dxa" w:w="2880"/>
            <w:shd w:val="clear" w:color="auto" w:fill="1F3A5F"/>
            <w:tcMar>
              <w:top w:w="80" w:type="dxa"/>
              <w:bottom w:w="80" w:type="dxa"/>
              <w:left w:w="120" w:type="dxa"/>
              <w:right w:w="120" w:type="dxa"/>
            </w:tcMar>
          </w:tcPr>
          <w:p>
            <w:r/>
            <w:r>
              <w:rPr>
                <w:b/>
                <w:color w:val="FFFFFF"/>
              </w:rPr>
              <w:t>Overdue days</w:t>
            </w:r>
          </w:p>
        </w:tc>
        <w:tc>
          <w:tcPr>
            <w:tcW w:type="dxa" w:w="2448"/>
            <w:shd w:val="clear" w:color="auto" w:fill="1F3A5F"/>
            <w:tcMar>
              <w:top w:w="80" w:type="dxa"/>
              <w:bottom w:w="80" w:type="dxa"/>
              <w:left w:w="120" w:type="dxa"/>
              <w:right w:w="120" w:type="dxa"/>
            </w:tcMar>
          </w:tcPr>
          <w:p>
            <w:r/>
            <w:r>
              <w:rPr>
                <w:b/>
                <w:color w:val="FFFFFF"/>
              </w:rPr>
              <w:t>Bucket</w:t>
            </w:r>
          </w:p>
        </w:tc>
        <w:tc>
          <w:tcPr>
            <w:tcW w:type="dxa" w:w="1872"/>
            <w:shd w:val="clear" w:color="auto" w:fill="1F3A5F"/>
            <w:tcMar>
              <w:top w:w="80" w:type="dxa"/>
              <w:bottom w:w="80" w:type="dxa"/>
              <w:left w:w="120" w:type="dxa"/>
              <w:right w:w="120" w:type="dxa"/>
            </w:tcMar>
          </w:tcPr>
          <w:p>
            <w:r/>
            <w:r>
              <w:rPr>
                <w:b/>
                <w:color w:val="FFFFFF"/>
              </w:rPr>
              <w:t>Amount</w:t>
            </w:r>
          </w:p>
        </w:tc>
      </w:tr>
      <w:tr>
        <w:tc>
          <w:tcPr>
            <w:tcW w:type="dxa" w:w="1872"/>
            <w:tcMar>
              <w:top w:w="80" w:type="dxa"/>
              <w:bottom w:w="80" w:type="dxa"/>
              <w:left w:w="120" w:type="dxa"/>
              <w:right w:w="120" w:type="dxa"/>
            </w:tcMar>
          </w:tcPr>
          <w:p>
            <w:r/>
            <w:r>
              <w:rPr>
                <w:sz w:val="19"/>
              </w:rPr>
              <w:t>INV-001</w:t>
            </w:r>
          </w:p>
        </w:tc>
        <w:tc>
          <w:tcPr>
            <w:tcW w:type="dxa" w:w="2880"/>
            <w:tcMar>
              <w:top w:w="80" w:type="dxa"/>
              <w:bottom w:w="80" w:type="dxa"/>
              <w:left w:w="120" w:type="dxa"/>
              <w:right w:w="120" w:type="dxa"/>
            </w:tcMar>
          </w:tcPr>
          <w:p>
            <w:r/>
            <w:r>
              <w:rPr>
                <w:sz w:val="19"/>
              </w:rPr>
              <w:t>51 (12 Apr - 20 Feb)</w:t>
            </w:r>
          </w:p>
        </w:tc>
        <w:tc>
          <w:tcPr>
            <w:tcW w:type="dxa" w:w="2448"/>
            <w:tcMar>
              <w:top w:w="80" w:type="dxa"/>
              <w:bottom w:w="80" w:type="dxa"/>
              <w:left w:w="120" w:type="dxa"/>
              <w:right w:w="120" w:type="dxa"/>
            </w:tcMar>
          </w:tcPr>
          <w:p>
            <w:r/>
            <w:r>
              <w:rPr>
                <w:sz w:val="19"/>
              </w:rPr>
              <w:t>Aging 31 to 60</w:t>
            </w:r>
          </w:p>
        </w:tc>
        <w:tc>
          <w:tcPr>
            <w:tcW w:type="dxa" w:w="1872"/>
            <w:tcMar>
              <w:top w:w="80" w:type="dxa"/>
              <w:bottom w:w="80" w:type="dxa"/>
              <w:left w:w="120" w:type="dxa"/>
              <w:right w:w="120" w:type="dxa"/>
            </w:tcMar>
          </w:tcPr>
          <w:p>
            <w:r/>
            <w:r>
              <w:rPr>
                <w:sz w:val="19"/>
              </w:rPr>
              <w:t>40,000</w:t>
            </w:r>
          </w:p>
        </w:tc>
      </w:tr>
      <w:tr>
        <w:tc>
          <w:tcPr>
            <w:tcW w:type="dxa" w:w="1872"/>
            <w:tcMar>
              <w:top w:w="80" w:type="dxa"/>
              <w:bottom w:w="80" w:type="dxa"/>
              <w:left w:w="120" w:type="dxa"/>
              <w:right w:w="120" w:type="dxa"/>
            </w:tcMar>
          </w:tcPr>
          <w:p>
            <w:r/>
            <w:r>
              <w:rPr>
                <w:sz w:val="19"/>
              </w:rPr>
              <w:t>INV-002</w:t>
            </w:r>
          </w:p>
        </w:tc>
        <w:tc>
          <w:tcPr>
            <w:tcW w:type="dxa" w:w="2880"/>
            <w:tcMar>
              <w:top w:w="80" w:type="dxa"/>
              <w:bottom w:w="80" w:type="dxa"/>
              <w:left w:w="120" w:type="dxa"/>
              <w:right w:w="120" w:type="dxa"/>
            </w:tcMar>
          </w:tcPr>
          <w:p>
            <w:r/>
            <w:r>
              <w:rPr>
                <w:sz w:val="19"/>
              </w:rPr>
              <w:t>-18 (not yet due)</w:t>
            </w:r>
          </w:p>
        </w:tc>
        <w:tc>
          <w:tcPr>
            <w:tcW w:type="dxa" w:w="2448"/>
            <w:tcMar>
              <w:top w:w="80" w:type="dxa"/>
              <w:bottom w:w="80" w:type="dxa"/>
              <w:left w:w="120" w:type="dxa"/>
              <w:right w:w="120" w:type="dxa"/>
            </w:tcMar>
          </w:tcPr>
          <w:p>
            <w:r/>
            <w:r>
              <w:rPr>
                <w:sz w:val="19"/>
              </w:rPr>
              <w:t>Not Due</w:t>
            </w:r>
          </w:p>
        </w:tc>
        <w:tc>
          <w:tcPr>
            <w:tcW w:type="dxa" w:w="1872"/>
            <w:tcMar>
              <w:top w:w="80" w:type="dxa"/>
              <w:bottom w:w="80" w:type="dxa"/>
              <w:left w:w="120" w:type="dxa"/>
              <w:right w:w="120" w:type="dxa"/>
            </w:tcMar>
          </w:tcPr>
          <w:p>
            <w:r/>
            <w:r>
              <w:rPr>
                <w:sz w:val="19"/>
              </w:rPr>
              <w:t>100,000</w:t>
            </w:r>
          </w:p>
        </w:tc>
      </w:tr>
      <w:tr>
        <w:tc>
          <w:tcPr>
            <w:tcW w:type="dxa" w:w="1872"/>
            <w:tcMar>
              <w:top w:w="80" w:type="dxa"/>
              <w:bottom w:w="80" w:type="dxa"/>
              <w:left w:w="120" w:type="dxa"/>
              <w:right w:w="120" w:type="dxa"/>
            </w:tcMar>
          </w:tcPr>
          <w:p>
            <w:r/>
            <w:r>
              <w:rPr>
                <w:sz w:val="19"/>
              </w:rPr>
              <w:t>INV-003</w:t>
            </w:r>
          </w:p>
        </w:tc>
        <w:tc>
          <w:tcPr>
            <w:tcW w:type="dxa" w:w="2880"/>
            <w:tcMar>
              <w:top w:w="80" w:type="dxa"/>
              <w:bottom w:w="80" w:type="dxa"/>
              <w:left w:w="120" w:type="dxa"/>
              <w:right w:w="120" w:type="dxa"/>
            </w:tcMar>
          </w:tcPr>
          <w:p>
            <w:r/>
            <w:r>
              <w:rPr>
                <w:sz w:val="19"/>
              </w:rPr>
              <w:t>-33 (not yet due)</w:t>
            </w:r>
          </w:p>
        </w:tc>
        <w:tc>
          <w:tcPr>
            <w:tcW w:type="dxa" w:w="2448"/>
            <w:tcMar>
              <w:top w:w="80" w:type="dxa"/>
              <w:bottom w:w="80" w:type="dxa"/>
              <w:left w:w="120" w:type="dxa"/>
              <w:right w:w="120" w:type="dxa"/>
            </w:tcMar>
          </w:tcPr>
          <w:p>
            <w:r/>
            <w:r>
              <w:rPr>
                <w:sz w:val="19"/>
              </w:rPr>
              <w:t>Not Due</w:t>
            </w:r>
          </w:p>
        </w:tc>
        <w:tc>
          <w:tcPr>
            <w:tcW w:type="dxa" w:w="1872"/>
            <w:tcMar>
              <w:top w:w="80" w:type="dxa"/>
              <w:bottom w:w="80" w:type="dxa"/>
              <w:left w:w="120" w:type="dxa"/>
              <w:right w:w="120" w:type="dxa"/>
            </w:tcMar>
          </w:tcPr>
          <w:p>
            <w:r/>
            <w:r>
              <w:rPr>
                <w:sz w:val="19"/>
              </w:rPr>
              <w:t>50,000</w:t>
            </w:r>
          </w:p>
        </w:tc>
      </w:tr>
      <w:tr>
        <w:tc>
          <w:tcPr>
            <w:tcW w:type="dxa" w:w="1872"/>
            <w:tcMar>
              <w:top w:w="80" w:type="dxa"/>
              <w:bottom w:w="80" w:type="dxa"/>
              <w:left w:w="120" w:type="dxa"/>
              <w:right w:w="120" w:type="dxa"/>
            </w:tcMar>
          </w:tcPr>
          <w:p>
            <w:r/>
            <w:r>
              <w:rPr>
                <w:sz w:val="19"/>
              </w:rPr>
              <w:t>INV-004</w:t>
            </w:r>
          </w:p>
        </w:tc>
        <w:tc>
          <w:tcPr>
            <w:tcW w:type="dxa" w:w="2880"/>
            <w:tcMar>
              <w:top w:w="80" w:type="dxa"/>
              <w:bottom w:w="80" w:type="dxa"/>
              <w:left w:w="120" w:type="dxa"/>
              <w:right w:w="120" w:type="dxa"/>
            </w:tcMar>
          </w:tcPr>
          <w:p>
            <w:r/>
            <w:r>
              <w:rPr>
                <w:sz w:val="19"/>
              </w:rPr>
              <w:t>-89 (not yet due)</w:t>
            </w:r>
          </w:p>
        </w:tc>
        <w:tc>
          <w:tcPr>
            <w:tcW w:type="dxa" w:w="2448"/>
            <w:tcMar>
              <w:top w:w="80" w:type="dxa"/>
              <w:bottom w:w="80" w:type="dxa"/>
              <w:left w:w="120" w:type="dxa"/>
              <w:right w:w="120" w:type="dxa"/>
            </w:tcMar>
          </w:tcPr>
          <w:p>
            <w:r/>
            <w:r>
              <w:rPr>
                <w:sz w:val="19"/>
              </w:rPr>
              <w:t>Not Due</w:t>
            </w:r>
          </w:p>
        </w:tc>
        <w:tc>
          <w:tcPr>
            <w:tcW w:type="dxa" w:w="1872"/>
            <w:tcMar>
              <w:top w:w="80" w:type="dxa"/>
              <w:bottom w:w="80" w:type="dxa"/>
              <w:left w:w="120" w:type="dxa"/>
              <w:right w:w="120" w:type="dxa"/>
            </w:tcMar>
          </w:tcPr>
          <w:p>
            <w:r/>
            <w:r>
              <w:rPr>
                <w:sz w:val="19"/>
              </w:rPr>
              <w:t>75,000</w:t>
            </w:r>
          </w:p>
        </w:tc>
      </w:tr>
    </w:tbl>
    <w:p/>
    <w:p>
      <w:pPr>
        <w:pStyle w:val="Heading3"/>
      </w:pPr>
      <w:r>
        <w:t>Selection: Starting Quarter = Q1</w:t>
      </w:r>
    </w:p>
    <w:p>
      <w:pPr>
        <w:spacing w:after="120"/>
      </w:pPr>
      <w:r>
        <w:rPr>
          <w:b w:val="0"/>
          <w:i w:val="0"/>
        </w:rPr>
        <w:t>Periods for Q1 (clean start) run Jan-Mar; everything after continues the mid-month chain:</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shd w:val="clear" w:color="auto" w:fill="1F3A5F"/>
            <w:tcMar>
              <w:top w:w="80" w:type="dxa"/>
              <w:bottom w:w="80" w:type="dxa"/>
              <w:left w:w="120" w:type="dxa"/>
              <w:right w:w="120" w:type="dxa"/>
            </w:tcMar>
          </w:tcPr>
          <w:p>
            <w:r/>
            <w:r>
              <w:rPr>
                <w:b/>
                <w:color w:val="FFFFFF"/>
              </w:rPr>
              <w:t>Period column</w:t>
            </w:r>
          </w:p>
        </w:tc>
        <w:tc>
          <w:tcPr>
            <w:tcW w:type="dxa" w:w="2880"/>
            <w:shd w:val="clear" w:color="auto" w:fill="1F3A5F"/>
            <w:tcMar>
              <w:top w:w="80" w:type="dxa"/>
              <w:bottom w:w="80" w:type="dxa"/>
              <w:left w:w="120" w:type="dxa"/>
              <w:right w:w="120" w:type="dxa"/>
            </w:tcMar>
          </w:tcPr>
          <w:p>
            <w:r/>
            <w:r>
              <w:rPr>
                <w:b/>
                <w:color w:val="FFFFFF"/>
              </w:rPr>
              <w:t>Date range</w:t>
            </w:r>
          </w:p>
        </w:tc>
        <w:tc>
          <w:tcPr>
            <w:tcW w:type="dxa" w:w="3888"/>
            <w:shd w:val="clear" w:color="auto" w:fill="1F3A5F"/>
            <w:tcMar>
              <w:top w:w="80" w:type="dxa"/>
              <w:bottom w:w="80" w:type="dxa"/>
              <w:left w:w="120" w:type="dxa"/>
              <w:right w:w="120" w:type="dxa"/>
            </w:tcMar>
          </w:tcPr>
          <w:p>
            <w:r/>
            <w:r>
              <w:rPr>
                <w:b/>
                <w:color w:val="FFFFFF"/>
              </w:rPr>
              <w:t>Amount captured</w:t>
            </w:r>
          </w:p>
        </w:tc>
      </w:tr>
      <w:tr>
        <w:tc>
          <w:tcPr>
            <w:tcW w:type="dxa" w:w="2160"/>
            <w:tcMar>
              <w:top w:w="80" w:type="dxa"/>
              <w:bottom w:w="80" w:type="dxa"/>
              <w:left w:w="120" w:type="dxa"/>
              <w:right w:w="120" w:type="dxa"/>
            </w:tcMar>
          </w:tcPr>
          <w:p>
            <w:r/>
            <w:r>
              <w:rPr>
                <w:sz w:val="19"/>
              </w:rPr>
              <w:t>Q1-2026</w:t>
            </w:r>
          </w:p>
        </w:tc>
        <w:tc>
          <w:tcPr>
            <w:tcW w:type="dxa" w:w="2880"/>
            <w:tcMar>
              <w:top w:w="80" w:type="dxa"/>
              <w:bottom w:w="80" w:type="dxa"/>
              <w:left w:w="120" w:type="dxa"/>
              <w:right w:w="120" w:type="dxa"/>
            </w:tcMar>
          </w:tcPr>
          <w:p>
            <w:r/>
            <w:r>
              <w:rPr>
                <w:sz w:val="19"/>
              </w:rPr>
              <w:t>1 Jan - 15 Mar</w:t>
            </w:r>
          </w:p>
        </w:tc>
        <w:tc>
          <w:tcPr>
            <w:tcW w:type="dxa" w:w="3888"/>
            <w:tcMar>
              <w:top w:w="80" w:type="dxa"/>
              <w:bottom w:w="80" w:type="dxa"/>
              <w:left w:w="120" w:type="dxa"/>
              <w:right w:w="120" w:type="dxa"/>
            </w:tcMar>
          </w:tcPr>
          <w:p>
            <w:r/>
            <w:r>
              <w:rPr>
                <w:sz w:val="19"/>
              </w:rPr>
              <w:t>40,000  (INV-001)</w:t>
            </w:r>
          </w:p>
        </w:tc>
      </w:tr>
      <w:tr>
        <w:tc>
          <w:tcPr>
            <w:tcW w:type="dxa" w:w="2160"/>
            <w:tcMar>
              <w:top w:w="80" w:type="dxa"/>
              <w:bottom w:w="80" w:type="dxa"/>
              <w:left w:w="120" w:type="dxa"/>
              <w:right w:w="120" w:type="dxa"/>
            </w:tcMar>
          </w:tcPr>
          <w:p>
            <w:r/>
            <w:r>
              <w:rPr>
                <w:sz w:val="19"/>
              </w:rPr>
              <w:t>Q1 tail</w:t>
            </w:r>
          </w:p>
        </w:tc>
        <w:tc>
          <w:tcPr>
            <w:tcW w:type="dxa" w:w="2880"/>
            <w:tcMar>
              <w:top w:w="80" w:type="dxa"/>
              <w:bottom w:w="80" w:type="dxa"/>
              <w:left w:w="120" w:type="dxa"/>
              <w:right w:w="120" w:type="dxa"/>
            </w:tcMar>
          </w:tcPr>
          <w:p>
            <w:r/>
            <w:r>
              <w:rPr>
                <w:sz w:val="19"/>
              </w:rPr>
              <w:t>16 - 31 Mar</w:t>
            </w:r>
          </w:p>
        </w:tc>
        <w:tc>
          <w:tcPr>
            <w:tcW w:type="dxa" w:w="3888"/>
            <w:tcMar>
              <w:top w:w="80" w:type="dxa"/>
              <w:bottom w:w="80" w:type="dxa"/>
              <w:left w:w="120" w:type="dxa"/>
              <w:right w:w="120" w:type="dxa"/>
            </w:tcMar>
          </w:tcPr>
          <w:p>
            <w:r/>
            <w:r>
              <w:rPr>
                <w:sz w:val="19"/>
              </w:rPr>
              <w:t>0</w:t>
            </w:r>
          </w:p>
        </w:tc>
      </w:tr>
      <w:tr>
        <w:tc>
          <w:tcPr>
            <w:tcW w:type="dxa" w:w="2160"/>
            <w:tcMar>
              <w:top w:w="80" w:type="dxa"/>
              <w:bottom w:w="80" w:type="dxa"/>
              <w:left w:w="120" w:type="dxa"/>
              <w:right w:w="120" w:type="dxa"/>
            </w:tcMar>
          </w:tcPr>
          <w:p>
            <w:r/>
            <w:r>
              <w:rPr>
                <w:sz w:val="19"/>
              </w:rPr>
              <w:t>Q2-2026</w:t>
            </w:r>
          </w:p>
        </w:tc>
        <w:tc>
          <w:tcPr>
            <w:tcW w:type="dxa" w:w="2880"/>
            <w:tcMar>
              <w:top w:w="80" w:type="dxa"/>
              <w:bottom w:w="80" w:type="dxa"/>
              <w:left w:w="120" w:type="dxa"/>
              <w:right w:w="120" w:type="dxa"/>
            </w:tcMar>
          </w:tcPr>
          <w:p>
            <w:r/>
            <w:r>
              <w:rPr>
                <w:sz w:val="19"/>
              </w:rPr>
              <w:t>16 Mar - 15 Jun</w:t>
            </w:r>
          </w:p>
        </w:tc>
        <w:tc>
          <w:tcPr>
            <w:tcW w:type="dxa" w:w="3888"/>
            <w:tcMar>
              <w:top w:w="80" w:type="dxa"/>
              <w:bottom w:w="80" w:type="dxa"/>
              <w:left w:w="120" w:type="dxa"/>
              <w:right w:w="120" w:type="dxa"/>
            </w:tcMar>
          </w:tcPr>
          <w:p>
            <w:r/>
            <w:r>
              <w:rPr>
                <w:sz w:val="19"/>
              </w:rPr>
              <w:t>150,000  (INV-002 + INV-003)</w:t>
            </w:r>
          </w:p>
        </w:tc>
      </w:tr>
      <w:tr>
        <w:tc>
          <w:tcPr>
            <w:tcW w:type="dxa" w:w="2160"/>
            <w:tcMar>
              <w:top w:w="80" w:type="dxa"/>
              <w:bottom w:w="80" w:type="dxa"/>
              <w:left w:w="120" w:type="dxa"/>
              <w:right w:w="120" w:type="dxa"/>
            </w:tcMar>
          </w:tcPr>
          <w:p>
            <w:r/>
            <w:r>
              <w:rPr>
                <w:sz w:val="19"/>
              </w:rPr>
              <w:t>Q2 tail</w:t>
            </w:r>
          </w:p>
        </w:tc>
        <w:tc>
          <w:tcPr>
            <w:tcW w:type="dxa" w:w="2880"/>
            <w:tcMar>
              <w:top w:w="80" w:type="dxa"/>
              <w:bottom w:w="80" w:type="dxa"/>
              <w:left w:w="120" w:type="dxa"/>
              <w:right w:w="120" w:type="dxa"/>
            </w:tcMar>
          </w:tcPr>
          <w:p>
            <w:r/>
            <w:r>
              <w:rPr>
                <w:sz w:val="19"/>
              </w:rPr>
              <w:t>16 - 30 Jun</w:t>
            </w:r>
          </w:p>
        </w:tc>
        <w:tc>
          <w:tcPr>
            <w:tcW w:type="dxa" w:w="3888"/>
            <w:tcMar>
              <w:top w:w="80" w:type="dxa"/>
              <w:bottom w:w="80" w:type="dxa"/>
              <w:left w:w="120" w:type="dxa"/>
              <w:right w:w="120" w:type="dxa"/>
            </w:tcMar>
          </w:tcPr>
          <w:p>
            <w:r/>
            <w:r>
              <w:rPr>
                <w:sz w:val="19"/>
              </w:rPr>
              <w:t>0</w:t>
            </w:r>
          </w:p>
        </w:tc>
      </w:tr>
      <w:tr>
        <w:tc>
          <w:tcPr>
            <w:tcW w:type="dxa" w:w="2160"/>
            <w:tcMar>
              <w:top w:w="80" w:type="dxa"/>
              <w:bottom w:w="80" w:type="dxa"/>
              <w:left w:w="120" w:type="dxa"/>
              <w:right w:w="120" w:type="dxa"/>
            </w:tcMar>
          </w:tcPr>
          <w:p>
            <w:r/>
            <w:r>
              <w:rPr>
                <w:sz w:val="19"/>
              </w:rPr>
              <w:t>Q3-2026</w:t>
            </w:r>
          </w:p>
        </w:tc>
        <w:tc>
          <w:tcPr>
            <w:tcW w:type="dxa" w:w="2880"/>
            <w:tcMar>
              <w:top w:w="80" w:type="dxa"/>
              <w:bottom w:w="80" w:type="dxa"/>
              <w:left w:w="120" w:type="dxa"/>
              <w:right w:w="120" w:type="dxa"/>
            </w:tcMar>
          </w:tcPr>
          <w:p>
            <w:r/>
            <w:r>
              <w:rPr>
                <w:sz w:val="19"/>
              </w:rPr>
              <w:t>16 Jun - 15 Sep</w:t>
            </w:r>
          </w:p>
        </w:tc>
        <w:tc>
          <w:tcPr>
            <w:tcW w:type="dxa" w:w="3888"/>
            <w:tcMar>
              <w:top w:w="80" w:type="dxa"/>
              <w:bottom w:w="80" w:type="dxa"/>
              <w:left w:w="120" w:type="dxa"/>
              <w:right w:w="120" w:type="dxa"/>
            </w:tcMar>
          </w:tcPr>
          <w:p>
            <w:r/>
            <w:r>
              <w:rPr>
                <w:sz w:val="19"/>
              </w:rPr>
              <w:t>75,000  (INV-004)</w:t>
            </w:r>
          </w:p>
        </w:tc>
      </w:tr>
    </w:tbl>
    <w:p/>
    <w:p>
      <w:pPr>
        <w:spacing w:after="120"/>
      </w:pPr>
      <w:r>
        <w:rPr>
          <w:b w:val="0"/>
          <w:i w:val="0"/>
        </w:rPr>
        <w:t>The manager now enters a collection expectation for the current period, and the rest of the chain calculates itself:</w:t>
      </w:r>
    </w:p>
    <w:tbl>
      <w:tblPr>
        <w:tblStyle w:val="LightGrid-Accent1"/>
        <w:tblW w:type="auto" w:w="0"/>
        <w:jc w:val="center"/>
        <w:tblLook w:firstColumn="1" w:firstRow="1" w:lastColumn="0" w:lastRow="0" w:noHBand="0" w:noVBand="1" w:val="04A0"/>
      </w:tblPr>
      <w:tblGrid>
        <w:gridCol w:w="3249"/>
        <w:gridCol w:w="3249"/>
        <w:gridCol w:w="3249"/>
      </w:tblGrid>
      <w:tr>
        <w:tc>
          <w:tcPr>
            <w:tcW w:type="dxa" w:w="2448"/>
            <w:shd w:val="clear" w:color="auto" w:fill="1F3A5F"/>
            <w:tcMar>
              <w:top w:w="80" w:type="dxa"/>
              <w:bottom w:w="80" w:type="dxa"/>
              <w:left w:w="120" w:type="dxa"/>
              <w:right w:w="120" w:type="dxa"/>
            </w:tcMar>
          </w:tcPr>
          <w:p>
            <w:r/>
            <w:r>
              <w:rPr>
                <w:b/>
                <w:color w:val="FFFFFF"/>
              </w:rPr>
              <w:t>Field</w:t>
            </w:r>
          </w:p>
        </w:tc>
        <w:tc>
          <w:tcPr>
            <w:tcW w:type="dxa" w:w="4752"/>
            <w:shd w:val="clear" w:color="auto" w:fill="1F3A5F"/>
            <w:tcMar>
              <w:top w:w="80" w:type="dxa"/>
              <w:bottom w:w="80" w:type="dxa"/>
              <w:left w:w="120" w:type="dxa"/>
              <w:right w:w="120" w:type="dxa"/>
            </w:tcMar>
          </w:tcPr>
          <w:p>
            <w:r/>
            <w:r>
              <w:rPr>
                <w:b/>
                <w:color w:val="FFFFFF"/>
              </w:rPr>
              <w:t>Formula</w:t>
            </w:r>
          </w:p>
        </w:tc>
        <w:tc>
          <w:tcPr>
            <w:tcW w:type="dxa" w:w="1728"/>
            <w:shd w:val="clear" w:color="auto" w:fill="1F3A5F"/>
            <w:tcMar>
              <w:top w:w="80" w:type="dxa"/>
              <w:bottom w:w="80" w:type="dxa"/>
              <w:left w:w="120" w:type="dxa"/>
              <w:right w:w="120" w:type="dxa"/>
            </w:tcMar>
          </w:tcPr>
          <w:p>
            <w:r/>
            <w:r>
              <w:rPr>
                <w:b/>
                <w:color w:val="FFFFFF"/>
              </w:rPr>
              <w:t>Result</w:t>
            </w:r>
          </w:p>
        </w:tc>
      </w:tr>
      <w:tr>
        <w:tc>
          <w:tcPr>
            <w:tcW w:type="dxa" w:w="2448"/>
            <w:tcMar>
              <w:top w:w="80" w:type="dxa"/>
              <w:bottom w:w="80" w:type="dxa"/>
              <w:left w:w="120" w:type="dxa"/>
              <w:right w:w="120" w:type="dxa"/>
            </w:tcMar>
          </w:tcPr>
          <w:p>
            <w:r/>
            <w:r>
              <w:rPr>
                <w:sz w:val="19"/>
              </w:rPr>
              <w:t>% for Q1</w:t>
            </w:r>
          </w:p>
        </w:tc>
        <w:tc>
          <w:tcPr>
            <w:tcW w:type="dxa" w:w="4752"/>
            <w:tcMar>
              <w:top w:w="80" w:type="dxa"/>
              <w:bottom w:w="80" w:type="dxa"/>
              <w:left w:w="120" w:type="dxa"/>
              <w:right w:w="120" w:type="dxa"/>
            </w:tcMar>
          </w:tcPr>
          <w:p>
            <w:r/>
            <w:r>
              <w:rPr>
                <w:sz w:val="19"/>
              </w:rPr>
              <w:t>(typed)</w:t>
            </w:r>
          </w:p>
        </w:tc>
        <w:tc>
          <w:tcPr>
            <w:tcW w:type="dxa" w:w="1728"/>
            <w:tcMar>
              <w:top w:w="80" w:type="dxa"/>
              <w:bottom w:w="80" w:type="dxa"/>
              <w:left w:w="120" w:type="dxa"/>
              <w:right w:w="120" w:type="dxa"/>
            </w:tcMar>
          </w:tcPr>
          <w:p>
            <w:r/>
            <w:r>
              <w:rPr>
                <w:sz w:val="19"/>
              </w:rPr>
              <w:t>90%</w:t>
            </w:r>
          </w:p>
        </w:tc>
      </w:tr>
      <w:tr>
        <w:tc>
          <w:tcPr>
            <w:tcW w:type="dxa" w:w="2448"/>
            <w:tcMar>
              <w:top w:w="80" w:type="dxa"/>
              <w:bottom w:w="80" w:type="dxa"/>
              <w:left w:w="120" w:type="dxa"/>
              <w:right w:w="120" w:type="dxa"/>
            </w:tcMar>
          </w:tcPr>
          <w:p>
            <w:r/>
            <w:r>
              <w:rPr>
                <w:sz w:val="19"/>
              </w:rPr>
              <w:t>Actual Q1</w:t>
            </w:r>
          </w:p>
        </w:tc>
        <w:tc>
          <w:tcPr>
            <w:tcW w:type="dxa" w:w="4752"/>
            <w:tcMar>
              <w:top w:w="80" w:type="dxa"/>
              <w:bottom w:w="80" w:type="dxa"/>
              <w:left w:w="120" w:type="dxa"/>
              <w:right w:w="120" w:type="dxa"/>
            </w:tcMar>
          </w:tcPr>
          <w:p>
            <w:r/>
            <w:r>
              <w:rPr>
                <w:sz w:val="19"/>
              </w:rPr>
              <w:t>Q1-2026 x % for Q1 = 40,000 x 90%</w:t>
            </w:r>
          </w:p>
        </w:tc>
        <w:tc>
          <w:tcPr>
            <w:tcW w:type="dxa" w:w="1728"/>
            <w:tcMar>
              <w:top w:w="80" w:type="dxa"/>
              <w:bottom w:w="80" w:type="dxa"/>
              <w:left w:w="120" w:type="dxa"/>
              <w:right w:w="120" w:type="dxa"/>
            </w:tcMar>
          </w:tcPr>
          <w:p>
            <w:r/>
            <w:r>
              <w:rPr>
                <w:sz w:val="19"/>
              </w:rPr>
              <w:t>36,000</w:t>
            </w:r>
          </w:p>
        </w:tc>
      </w:tr>
      <w:tr>
        <w:tc>
          <w:tcPr>
            <w:tcW w:type="dxa" w:w="2448"/>
            <w:tcMar>
              <w:top w:w="80" w:type="dxa"/>
              <w:bottom w:w="80" w:type="dxa"/>
              <w:left w:w="120" w:type="dxa"/>
              <w:right w:w="120" w:type="dxa"/>
            </w:tcMar>
          </w:tcPr>
          <w:p>
            <w:r/>
            <w:r>
              <w:rPr>
                <w:sz w:val="19"/>
              </w:rPr>
              <w:t>Remaining % from q1</w:t>
            </w:r>
          </w:p>
        </w:tc>
        <w:tc>
          <w:tcPr>
            <w:tcW w:type="dxa" w:w="4752"/>
            <w:tcMar>
              <w:top w:w="80" w:type="dxa"/>
              <w:bottom w:w="80" w:type="dxa"/>
              <w:left w:w="120" w:type="dxa"/>
              <w:right w:w="120" w:type="dxa"/>
            </w:tcMar>
          </w:tcPr>
          <w:p>
            <w:r/>
            <w:r>
              <w:rPr>
                <w:sz w:val="19"/>
              </w:rPr>
              <w:t>1 - % for Q1</w:t>
            </w:r>
          </w:p>
        </w:tc>
        <w:tc>
          <w:tcPr>
            <w:tcW w:type="dxa" w:w="1728"/>
            <w:tcMar>
              <w:top w:w="80" w:type="dxa"/>
              <w:bottom w:w="80" w:type="dxa"/>
              <w:left w:w="120" w:type="dxa"/>
              <w:right w:w="120" w:type="dxa"/>
            </w:tcMar>
          </w:tcPr>
          <w:p>
            <w:r/>
            <w:r>
              <w:rPr>
                <w:sz w:val="19"/>
              </w:rPr>
              <w:t>10%</w:t>
            </w:r>
          </w:p>
        </w:tc>
      </w:tr>
      <w:tr>
        <w:tc>
          <w:tcPr>
            <w:tcW w:type="dxa" w:w="2448"/>
            <w:tcMar>
              <w:top w:w="80" w:type="dxa"/>
              <w:bottom w:w="80" w:type="dxa"/>
              <w:left w:w="120" w:type="dxa"/>
              <w:right w:w="120" w:type="dxa"/>
            </w:tcMar>
          </w:tcPr>
          <w:p>
            <w:r/>
            <w:r>
              <w:rPr>
                <w:sz w:val="19"/>
              </w:rPr>
              <w:t>To add to Q2</w:t>
            </w:r>
          </w:p>
        </w:tc>
        <w:tc>
          <w:tcPr>
            <w:tcW w:type="dxa" w:w="4752"/>
            <w:tcMar>
              <w:top w:w="80" w:type="dxa"/>
              <w:bottom w:w="80" w:type="dxa"/>
              <w:left w:w="120" w:type="dxa"/>
              <w:right w:w="120" w:type="dxa"/>
            </w:tcMar>
          </w:tcPr>
          <w:p>
            <w:r/>
            <w:r>
              <w:rPr>
                <w:sz w:val="19"/>
              </w:rPr>
              <w:t>Remaining % x Q1-2026 = 10% x 40,000</w:t>
            </w:r>
          </w:p>
        </w:tc>
        <w:tc>
          <w:tcPr>
            <w:tcW w:type="dxa" w:w="1728"/>
            <w:tcMar>
              <w:top w:w="80" w:type="dxa"/>
              <w:bottom w:w="80" w:type="dxa"/>
              <w:left w:w="120" w:type="dxa"/>
              <w:right w:w="120" w:type="dxa"/>
            </w:tcMar>
          </w:tcPr>
          <w:p>
            <w:r/>
            <w:r>
              <w:rPr>
                <w:sz w:val="19"/>
              </w:rPr>
              <w:t>4,000</w:t>
            </w:r>
          </w:p>
        </w:tc>
      </w:tr>
      <w:tr>
        <w:tc>
          <w:tcPr>
            <w:tcW w:type="dxa" w:w="2448"/>
            <w:tcMar>
              <w:top w:w="80" w:type="dxa"/>
              <w:bottom w:w="80" w:type="dxa"/>
              <w:left w:w="120" w:type="dxa"/>
              <w:right w:w="120" w:type="dxa"/>
            </w:tcMar>
          </w:tcPr>
          <w:p>
            <w:r/>
            <w:r>
              <w:rPr>
                <w:sz w:val="19"/>
              </w:rPr>
              <w:t>Forecast Q2</w:t>
            </w:r>
          </w:p>
        </w:tc>
        <w:tc>
          <w:tcPr>
            <w:tcW w:type="dxa" w:w="4752"/>
            <w:tcMar>
              <w:top w:w="80" w:type="dxa"/>
              <w:bottom w:w="80" w:type="dxa"/>
              <w:left w:w="120" w:type="dxa"/>
              <w:right w:w="120" w:type="dxa"/>
            </w:tcMar>
          </w:tcPr>
          <w:p>
            <w:r/>
            <w:r>
              <w:rPr>
                <w:sz w:val="19"/>
              </w:rPr>
              <w:t>Q2-2026 + To add to Q2 = 150,000 + 4,000</w:t>
            </w:r>
          </w:p>
        </w:tc>
        <w:tc>
          <w:tcPr>
            <w:tcW w:type="dxa" w:w="1728"/>
            <w:tcMar>
              <w:top w:w="80" w:type="dxa"/>
              <w:bottom w:w="80" w:type="dxa"/>
              <w:left w:w="120" w:type="dxa"/>
              <w:right w:w="120" w:type="dxa"/>
            </w:tcMar>
          </w:tcPr>
          <w:p>
            <w:r/>
            <w:r>
              <w:rPr>
                <w:sz w:val="19"/>
              </w:rPr>
              <w:t>154,000</w:t>
            </w:r>
          </w:p>
        </w:tc>
      </w:tr>
    </w:tbl>
    <w:p/>
    <w:p>
      <w:pPr>
        <w:pStyle w:val="Heading3"/>
      </w:pPr>
      <w:r>
        <w:t>Selection: Starting Quarter = Q2</w:t>
      </w:r>
    </w:p>
    <w:p>
      <w:pPr>
        <w:spacing w:after="120"/>
      </w:pPr>
      <w:r>
        <w:rPr>
          <w:b w:val="0"/>
          <w:i w:val="0"/>
        </w:rPr>
        <w:t>Now Q2 gets the clean 1 Apr start. Notice INV-001 (due 20 Feb) no longer falls into any period column at all - Q1 has been left behind:</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shd w:val="clear" w:color="auto" w:fill="1F3A5F"/>
            <w:tcMar>
              <w:top w:w="80" w:type="dxa"/>
              <w:bottom w:w="80" w:type="dxa"/>
              <w:left w:w="120" w:type="dxa"/>
              <w:right w:w="120" w:type="dxa"/>
            </w:tcMar>
          </w:tcPr>
          <w:p>
            <w:r/>
            <w:r>
              <w:rPr>
                <w:b/>
                <w:color w:val="FFFFFF"/>
              </w:rPr>
              <w:t>Period column</w:t>
            </w:r>
          </w:p>
        </w:tc>
        <w:tc>
          <w:tcPr>
            <w:tcW w:type="dxa" w:w="2880"/>
            <w:shd w:val="clear" w:color="auto" w:fill="1F3A5F"/>
            <w:tcMar>
              <w:top w:w="80" w:type="dxa"/>
              <w:bottom w:w="80" w:type="dxa"/>
              <w:left w:w="120" w:type="dxa"/>
              <w:right w:w="120" w:type="dxa"/>
            </w:tcMar>
          </w:tcPr>
          <w:p>
            <w:r/>
            <w:r>
              <w:rPr>
                <w:b/>
                <w:color w:val="FFFFFF"/>
              </w:rPr>
              <w:t>Date range</w:t>
            </w:r>
          </w:p>
        </w:tc>
        <w:tc>
          <w:tcPr>
            <w:tcW w:type="dxa" w:w="3888"/>
            <w:shd w:val="clear" w:color="auto" w:fill="1F3A5F"/>
            <w:tcMar>
              <w:top w:w="80" w:type="dxa"/>
              <w:bottom w:w="80" w:type="dxa"/>
              <w:left w:w="120" w:type="dxa"/>
              <w:right w:w="120" w:type="dxa"/>
            </w:tcMar>
          </w:tcPr>
          <w:p>
            <w:r/>
            <w:r>
              <w:rPr>
                <w:b/>
                <w:color w:val="FFFFFF"/>
              </w:rPr>
              <w:t>Amount captured</w:t>
            </w:r>
          </w:p>
        </w:tc>
      </w:tr>
      <w:tr>
        <w:tc>
          <w:tcPr>
            <w:tcW w:type="dxa" w:w="2160"/>
            <w:tcMar>
              <w:top w:w="80" w:type="dxa"/>
              <w:bottom w:w="80" w:type="dxa"/>
              <w:left w:w="120" w:type="dxa"/>
              <w:right w:w="120" w:type="dxa"/>
            </w:tcMar>
          </w:tcPr>
          <w:p>
            <w:r/>
            <w:r>
              <w:rPr>
                <w:sz w:val="19"/>
              </w:rPr>
              <w:t>Q2-2026</w:t>
            </w:r>
          </w:p>
        </w:tc>
        <w:tc>
          <w:tcPr>
            <w:tcW w:type="dxa" w:w="2880"/>
            <w:tcMar>
              <w:top w:w="80" w:type="dxa"/>
              <w:bottom w:w="80" w:type="dxa"/>
              <w:left w:w="120" w:type="dxa"/>
              <w:right w:w="120" w:type="dxa"/>
            </w:tcMar>
          </w:tcPr>
          <w:p>
            <w:r/>
            <w:r>
              <w:rPr>
                <w:sz w:val="19"/>
              </w:rPr>
              <w:t>1 Apr - 15 Jun</w:t>
            </w:r>
          </w:p>
        </w:tc>
        <w:tc>
          <w:tcPr>
            <w:tcW w:type="dxa" w:w="3888"/>
            <w:tcMar>
              <w:top w:w="80" w:type="dxa"/>
              <w:bottom w:w="80" w:type="dxa"/>
              <w:left w:w="120" w:type="dxa"/>
              <w:right w:w="120" w:type="dxa"/>
            </w:tcMar>
          </w:tcPr>
          <w:p>
            <w:r/>
            <w:r>
              <w:rPr>
                <w:sz w:val="19"/>
              </w:rPr>
              <w:t>150,000  (INV-002 + INV-003)</w:t>
            </w:r>
          </w:p>
        </w:tc>
      </w:tr>
      <w:tr>
        <w:tc>
          <w:tcPr>
            <w:tcW w:type="dxa" w:w="2160"/>
            <w:tcMar>
              <w:top w:w="80" w:type="dxa"/>
              <w:bottom w:w="80" w:type="dxa"/>
              <w:left w:w="120" w:type="dxa"/>
              <w:right w:w="120" w:type="dxa"/>
            </w:tcMar>
          </w:tcPr>
          <w:p>
            <w:r/>
            <w:r>
              <w:rPr>
                <w:sz w:val="19"/>
              </w:rPr>
              <w:t>Q2 tail</w:t>
            </w:r>
          </w:p>
        </w:tc>
        <w:tc>
          <w:tcPr>
            <w:tcW w:type="dxa" w:w="2880"/>
            <w:tcMar>
              <w:top w:w="80" w:type="dxa"/>
              <w:bottom w:w="80" w:type="dxa"/>
              <w:left w:w="120" w:type="dxa"/>
              <w:right w:w="120" w:type="dxa"/>
            </w:tcMar>
          </w:tcPr>
          <w:p>
            <w:r/>
            <w:r>
              <w:rPr>
                <w:sz w:val="19"/>
              </w:rPr>
              <w:t>16 - 30 Jun</w:t>
            </w:r>
          </w:p>
        </w:tc>
        <w:tc>
          <w:tcPr>
            <w:tcW w:type="dxa" w:w="3888"/>
            <w:tcMar>
              <w:top w:w="80" w:type="dxa"/>
              <w:bottom w:w="80" w:type="dxa"/>
              <w:left w:w="120" w:type="dxa"/>
              <w:right w:w="120" w:type="dxa"/>
            </w:tcMar>
          </w:tcPr>
          <w:p>
            <w:r/>
            <w:r>
              <w:rPr>
                <w:sz w:val="19"/>
              </w:rPr>
              <w:t>0</w:t>
            </w:r>
          </w:p>
        </w:tc>
      </w:tr>
      <w:tr>
        <w:tc>
          <w:tcPr>
            <w:tcW w:type="dxa" w:w="2160"/>
            <w:tcMar>
              <w:top w:w="80" w:type="dxa"/>
              <w:bottom w:w="80" w:type="dxa"/>
              <w:left w:w="120" w:type="dxa"/>
              <w:right w:w="120" w:type="dxa"/>
            </w:tcMar>
          </w:tcPr>
          <w:p>
            <w:r/>
            <w:r>
              <w:rPr>
                <w:sz w:val="19"/>
              </w:rPr>
              <w:t>Q3-2026</w:t>
            </w:r>
          </w:p>
        </w:tc>
        <w:tc>
          <w:tcPr>
            <w:tcW w:type="dxa" w:w="2880"/>
            <w:tcMar>
              <w:top w:w="80" w:type="dxa"/>
              <w:bottom w:w="80" w:type="dxa"/>
              <w:left w:w="120" w:type="dxa"/>
              <w:right w:w="120" w:type="dxa"/>
            </w:tcMar>
          </w:tcPr>
          <w:p>
            <w:r/>
            <w:r>
              <w:rPr>
                <w:sz w:val="19"/>
              </w:rPr>
              <w:t>16 Jun - 15 Sep</w:t>
            </w:r>
          </w:p>
        </w:tc>
        <w:tc>
          <w:tcPr>
            <w:tcW w:type="dxa" w:w="3888"/>
            <w:tcMar>
              <w:top w:w="80" w:type="dxa"/>
              <w:bottom w:w="80" w:type="dxa"/>
              <w:left w:w="120" w:type="dxa"/>
              <w:right w:w="120" w:type="dxa"/>
            </w:tcMar>
          </w:tcPr>
          <w:p>
            <w:r/>
            <w:r>
              <w:rPr>
                <w:sz w:val="19"/>
              </w:rPr>
              <w:t>75,000  (INV-004)</w:t>
            </w:r>
          </w:p>
        </w:tc>
      </w:tr>
    </w:tbl>
    <w:p/>
    <w:tbl>
      <w:tblPr>
        <w:tblStyle w:val="LightGrid-Accent1"/>
        <w:tblW w:type="auto" w:w="0"/>
        <w:jc w:val="center"/>
        <w:tblLook w:firstColumn="1" w:firstRow="1" w:lastColumn="0" w:lastRow="0" w:noHBand="0" w:noVBand="1" w:val="04A0"/>
      </w:tblPr>
      <w:tblGrid>
        <w:gridCol w:w="3249"/>
        <w:gridCol w:w="3249"/>
        <w:gridCol w:w="3249"/>
      </w:tblGrid>
      <w:tr>
        <w:tc>
          <w:tcPr>
            <w:tcW w:type="dxa" w:w="2448"/>
            <w:shd w:val="clear" w:color="auto" w:fill="1F3A5F"/>
            <w:tcMar>
              <w:top w:w="80" w:type="dxa"/>
              <w:bottom w:w="80" w:type="dxa"/>
              <w:left w:w="120" w:type="dxa"/>
              <w:right w:w="120" w:type="dxa"/>
            </w:tcMar>
          </w:tcPr>
          <w:p>
            <w:r/>
            <w:r>
              <w:rPr>
                <w:b/>
                <w:color w:val="FFFFFF"/>
              </w:rPr>
              <w:t>Field</w:t>
            </w:r>
          </w:p>
        </w:tc>
        <w:tc>
          <w:tcPr>
            <w:tcW w:type="dxa" w:w="4752"/>
            <w:shd w:val="clear" w:color="auto" w:fill="1F3A5F"/>
            <w:tcMar>
              <w:top w:w="80" w:type="dxa"/>
              <w:bottom w:w="80" w:type="dxa"/>
              <w:left w:w="120" w:type="dxa"/>
              <w:right w:w="120" w:type="dxa"/>
            </w:tcMar>
          </w:tcPr>
          <w:p>
            <w:r/>
            <w:r>
              <w:rPr>
                <w:b/>
                <w:color w:val="FFFFFF"/>
              </w:rPr>
              <w:t>Formula</w:t>
            </w:r>
          </w:p>
        </w:tc>
        <w:tc>
          <w:tcPr>
            <w:tcW w:type="dxa" w:w="1728"/>
            <w:shd w:val="clear" w:color="auto" w:fill="1F3A5F"/>
            <w:tcMar>
              <w:top w:w="80" w:type="dxa"/>
              <w:bottom w:w="80" w:type="dxa"/>
              <w:left w:w="120" w:type="dxa"/>
              <w:right w:w="120" w:type="dxa"/>
            </w:tcMar>
          </w:tcPr>
          <w:p>
            <w:r/>
            <w:r>
              <w:rPr>
                <w:b/>
                <w:color w:val="FFFFFF"/>
              </w:rPr>
              <w:t>Result</w:t>
            </w:r>
          </w:p>
        </w:tc>
      </w:tr>
      <w:tr>
        <w:tc>
          <w:tcPr>
            <w:tcW w:type="dxa" w:w="2448"/>
            <w:tcMar>
              <w:top w:w="80" w:type="dxa"/>
              <w:bottom w:w="80" w:type="dxa"/>
              <w:left w:w="120" w:type="dxa"/>
              <w:right w:w="120" w:type="dxa"/>
            </w:tcMar>
          </w:tcPr>
          <w:p>
            <w:r/>
            <w:r>
              <w:rPr>
                <w:sz w:val="19"/>
              </w:rPr>
              <w:t>% for Q2</w:t>
            </w:r>
          </w:p>
        </w:tc>
        <w:tc>
          <w:tcPr>
            <w:tcW w:type="dxa" w:w="4752"/>
            <w:tcMar>
              <w:top w:w="80" w:type="dxa"/>
              <w:bottom w:w="80" w:type="dxa"/>
              <w:left w:w="120" w:type="dxa"/>
              <w:right w:w="120" w:type="dxa"/>
            </w:tcMar>
          </w:tcPr>
          <w:p>
            <w:r/>
            <w:r>
              <w:rPr>
                <w:sz w:val="19"/>
              </w:rPr>
              <w:t>(typed)</w:t>
            </w:r>
          </w:p>
        </w:tc>
        <w:tc>
          <w:tcPr>
            <w:tcW w:type="dxa" w:w="1728"/>
            <w:tcMar>
              <w:top w:w="80" w:type="dxa"/>
              <w:bottom w:w="80" w:type="dxa"/>
              <w:left w:w="120" w:type="dxa"/>
              <w:right w:w="120" w:type="dxa"/>
            </w:tcMar>
          </w:tcPr>
          <w:p>
            <w:r/>
            <w:r>
              <w:rPr>
                <w:sz w:val="19"/>
              </w:rPr>
              <w:t>80%</w:t>
            </w:r>
          </w:p>
        </w:tc>
      </w:tr>
      <w:tr>
        <w:tc>
          <w:tcPr>
            <w:tcW w:type="dxa" w:w="2448"/>
            <w:tcMar>
              <w:top w:w="80" w:type="dxa"/>
              <w:bottom w:w="80" w:type="dxa"/>
              <w:left w:w="120" w:type="dxa"/>
              <w:right w:w="120" w:type="dxa"/>
            </w:tcMar>
          </w:tcPr>
          <w:p>
            <w:r/>
            <w:r>
              <w:rPr>
                <w:sz w:val="19"/>
              </w:rPr>
              <w:t>Actual Q2</w:t>
            </w:r>
          </w:p>
        </w:tc>
        <w:tc>
          <w:tcPr>
            <w:tcW w:type="dxa" w:w="4752"/>
            <w:tcMar>
              <w:top w:w="80" w:type="dxa"/>
              <w:bottom w:w="80" w:type="dxa"/>
              <w:left w:w="120" w:type="dxa"/>
              <w:right w:w="120" w:type="dxa"/>
            </w:tcMar>
          </w:tcPr>
          <w:p>
            <w:r/>
            <w:r>
              <w:rPr>
                <w:sz w:val="19"/>
              </w:rPr>
              <w:t>150,000 x 80%</w:t>
            </w:r>
          </w:p>
        </w:tc>
        <w:tc>
          <w:tcPr>
            <w:tcW w:type="dxa" w:w="1728"/>
            <w:tcMar>
              <w:top w:w="80" w:type="dxa"/>
              <w:bottom w:w="80" w:type="dxa"/>
              <w:left w:w="120" w:type="dxa"/>
              <w:right w:w="120" w:type="dxa"/>
            </w:tcMar>
          </w:tcPr>
          <w:p>
            <w:r/>
            <w:r>
              <w:rPr>
                <w:sz w:val="19"/>
              </w:rPr>
              <w:t>120,000</w:t>
            </w:r>
          </w:p>
        </w:tc>
      </w:tr>
      <w:tr>
        <w:tc>
          <w:tcPr>
            <w:tcW w:type="dxa" w:w="2448"/>
            <w:tcMar>
              <w:top w:w="80" w:type="dxa"/>
              <w:bottom w:w="80" w:type="dxa"/>
              <w:left w:w="120" w:type="dxa"/>
              <w:right w:w="120" w:type="dxa"/>
            </w:tcMar>
          </w:tcPr>
          <w:p>
            <w:r/>
            <w:r>
              <w:rPr>
                <w:sz w:val="19"/>
              </w:rPr>
              <w:t>Remaining % from q2</w:t>
            </w:r>
          </w:p>
        </w:tc>
        <w:tc>
          <w:tcPr>
            <w:tcW w:type="dxa" w:w="4752"/>
            <w:tcMar>
              <w:top w:w="80" w:type="dxa"/>
              <w:bottom w:w="80" w:type="dxa"/>
              <w:left w:w="120" w:type="dxa"/>
              <w:right w:w="120" w:type="dxa"/>
            </w:tcMar>
          </w:tcPr>
          <w:p>
            <w:r/>
            <w:r>
              <w:rPr>
                <w:sz w:val="19"/>
              </w:rPr>
              <w:t>1 - 80%</w:t>
            </w:r>
          </w:p>
        </w:tc>
        <w:tc>
          <w:tcPr>
            <w:tcW w:type="dxa" w:w="1728"/>
            <w:tcMar>
              <w:top w:w="80" w:type="dxa"/>
              <w:bottom w:w="80" w:type="dxa"/>
              <w:left w:w="120" w:type="dxa"/>
              <w:right w:w="120" w:type="dxa"/>
            </w:tcMar>
          </w:tcPr>
          <w:p>
            <w:r/>
            <w:r>
              <w:rPr>
                <w:sz w:val="19"/>
              </w:rPr>
              <w:t>20%</w:t>
            </w:r>
          </w:p>
        </w:tc>
      </w:tr>
      <w:tr>
        <w:tc>
          <w:tcPr>
            <w:tcW w:type="dxa" w:w="2448"/>
            <w:tcMar>
              <w:top w:w="80" w:type="dxa"/>
              <w:bottom w:w="80" w:type="dxa"/>
              <w:left w:w="120" w:type="dxa"/>
              <w:right w:w="120" w:type="dxa"/>
            </w:tcMar>
          </w:tcPr>
          <w:p>
            <w:r/>
            <w:r>
              <w:rPr>
                <w:sz w:val="19"/>
              </w:rPr>
              <w:t>To add to Q3</w:t>
            </w:r>
          </w:p>
        </w:tc>
        <w:tc>
          <w:tcPr>
            <w:tcW w:type="dxa" w:w="4752"/>
            <w:tcMar>
              <w:top w:w="80" w:type="dxa"/>
              <w:bottom w:w="80" w:type="dxa"/>
              <w:left w:w="120" w:type="dxa"/>
              <w:right w:w="120" w:type="dxa"/>
            </w:tcMar>
          </w:tcPr>
          <w:p>
            <w:r/>
            <w:r>
              <w:rPr>
                <w:sz w:val="19"/>
              </w:rPr>
              <w:t>20% x 150,000</w:t>
            </w:r>
          </w:p>
        </w:tc>
        <w:tc>
          <w:tcPr>
            <w:tcW w:type="dxa" w:w="1728"/>
            <w:tcMar>
              <w:top w:w="80" w:type="dxa"/>
              <w:bottom w:w="80" w:type="dxa"/>
              <w:left w:w="120" w:type="dxa"/>
              <w:right w:w="120" w:type="dxa"/>
            </w:tcMar>
          </w:tcPr>
          <w:p>
            <w:r/>
            <w:r>
              <w:rPr>
                <w:sz w:val="19"/>
              </w:rPr>
              <w:t>30,000</w:t>
            </w:r>
          </w:p>
        </w:tc>
      </w:tr>
      <w:tr>
        <w:tc>
          <w:tcPr>
            <w:tcW w:type="dxa" w:w="2448"/>
            <w:tcMar>
              <w:top w:w="80" w:type="dxa"/>
              <w:bottom w:w="80" w:type="dxa"/>
              <w:left w:w="120" w:type="dxa"/>
              <w:right w:w="120" w:type="dxa"/>
            </w:tcMar>
          </w:tcPr>
          <w:p>
            <w:r/>
            <w:r>
              <w:rPr>
                <w:sz w:val="19"/>
              </w:rPr>
              <w:t>Forecast Q3</w:t>
            </w:r>
          </w:p>
        </w:tc>
        <w:tc>
          <w:tcPr>
            <w:tcW w:type="dxa" w:w="4752"/>
            <w:tcMar>
              <w:top w:w="80" w:type="dxa"/>
              <w:bottom w:w="80" w:type="dxa"/>
              <w:left w:w="120" w:type="dxa"/>
              <w:right w:w="120" w:type="dxa"/>
            </w:tcMar>
          </w:tcPr>
          <w:p>
            <w:r/>
            <w:r>
              <w:rPr>
                <w:sz w:val="19"/>
              </w:rPr>
              <w:t>75,000 + 30,000</w:t>
            </w:r>
          </w:p>
        </w:tc>
        <w:tc>
          <w:tcPr>
            <w:tcW w:type="dxa" w:w="1728"/>
            <w:tcMar>
              <w:top w:w="80" w:type="dxa"/>
              <w:bottom w:w="80" w:type="dxa"/>
              <w:left w:w="120" w:type="dxa"/>
              <w:right w:w="120" w:type="dxa"/>
            </w:tcMar>
          </w:tcPr>
          <w:p>
            <w:r/>
            <w:r>
              <w:rPr>
                <w:sz w:val="19"/>
              </w:rPr>
              <w:t>105,000</w:t>
            </w:r>
          </w:p>
        </w:tc>
      </w:tr>
    </w:tbl>
    <w:p/>
    <w:p>
      <w:pPr>
        <w:pStyle w:val="Heading3"/>
      </w:pPr>
      <w:r>
        <w:t>Selection: Starting Quarter = Q3</w:t>
      </w:r>
    </w:p>
    <w:p>
      <w:pPr>
        <w:spacing w:after="120"/>
      </w:pPr>
      <w:r>
        <w:rPr>
          <w:b w:val="0"/>
          <w:i w:val="0"/>
        </w:rPr>
        <w:t>Q3 gets the clean 1 Jul start. Now both INV-001 and INV-002/003 (due Feb-May) have fallen outside every period column - only what's due July onward remains in scope:</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shd w:val="clear" w:color="auto" w:fill="1F3A5F"/>
            <w:tcMar>
              <w:top w:w="80" w:type="dxa"/>
              <w:bottom w:w="80" w:type="dxa"/>
              <w:left w:w="120" w:type="dxa"/>
              <w:right w:w="120" w:type="dxa"/>
            </w:tcMar>
          </w:tcPr>
          <w:p>
            <w:r/>
            <w:r>
              <w:rPr>
                <w:b/>
                <w:color w:val="FFFFFF"/>
              </w:rPr>
              <w:t>Period column</w:t>
            </w:r>
          </w:p>
        </w:tc>
        <w:tc>
          <w:tcPr>
            <w:tcW w:type="dxa" w:w="2880"/>
            <w:shd w:val="clear" w:color="auto" w:fill="1F3A5F"/>
            <w:tcMar>
              <w:top w:w="80" w:type="dxa"/>
              <w:bottom w:w="80" w:type="dxa"/>
              <w:left w:w="120" w:type="dxa"/>
              <w:right w:w="120" w:type="dxa"/>
            </w:tcMar>
          </w:tcPr>
          <w:p>
            <w:r/>
            <w:r>
              <w:rPr>
                <w:b/>
                <w:color w:val="FFFFFF"/>
              </w:rPr>
              <w:t>Date range</w:t>
            </w:r>
          </w:p>
        </w:tc>
        <w:tc>
          <w:tcPr>
            <w:tcW w:type="dxa" w:w="3888"/>
            <w:shd w:val="clear" w:color="auto" w:fill="1F3A5F"/>
            <w:tcMar>
              <w:top w:w="80" w:type="dxa"/>
              <w:bottom w:w="80" w:type="dxa"/>
              <w:left w:w="120" w:type="dxa"/>
              <w:right w:w="120" w:type="dxa"/>
            </w:tcMar>
          </w:tcPr>
          <w:p>
            <w:r/>
            <w:r>
              <w:rPr>
                <w:b/>
                <w:color w:val="FFFFFF"/>
              </w:rPr>
              <w:t>Amount captured</w:t>
            </w:r>
          </w:p>
        </w:tc>
      </w:tr>
      <w:tr>
        <w:tc>
          <w:tcPr>
            <w:tcW w:type="dxa" w:w="2160"/>
            <w:tcMar>
              <w:top w:w="80" w:type="dxa"/>
              <w:bottom w:w="80" w:type="dxa"/>
              <w:left w:w="120" w:type="dxa"/>
              <w:right w:w="120" w:type="dxa"/>
            </w:tcMar>
          </w:tcPr>
          <w:p>
            <w:r/>
            <w:r>
              <w:rPr>
                <w:sz w:val="19"/>
              </w:rPr>
              <w:t>Q3-2026</w:t>
            </w:r>
          </w:p>
        </w:tc>
        <w:tc>
          <w:tcPr>
            <w:tcW w:type="dxa" w:w="2880"/>
            <w:tcMar>
              <w:top w:w="80" w:type="dxa"/>
              <w:bottom w:w="80" w:type="dxa"/>
              <w:left w:w="120" w:type="dxa"/>
              <w:right w:w="120" w:type="dxa"/>
            </w:tcMar>
          </w:tcPr>
          <w:p>
            <w:r/>
            <w:r>
              <w:rPr>
                <w:sz w:val="19"/>
              </w:rPr>
              <w:t>1 Jul - 15 Sep</w:t>
            </w:r>
          </w:p>
        </w:tc>
        <w:tc>
          <w:tcPr>
            <w:tcW w:type="dxa" w:w="3888"/>
            <w:tcMar>
              <w:top w:w="80" w:type="dxa"/>
              <w:bottom w:w="80" w:type="dxa"/>
              <w:left w:w="120" w:type="dxa"/>
              <w:right w:w="120" w:type="dxa"/>
            </w:tcMar>
          </w:tcPr>
          <w:p>
            <w:r/>
            <w:r>
              <w:rPr>
                <w:sz w:val="19"/>
              </w:rPr>
              <w:t>75,000  (INV-004)</w:t>
            </w:r>
          </w:p>
        </w:tc>
      </w:tr>
      <w:tr>
        <w:tc>
          <w:tcPr>
            <w:tcW w:type="dxa" w:w="2160"/>
            <w:tcMar>
              <w:top w:w="80" w:type="dxa"/>
              <w:bottom w:w="80" w:type="dxa"/>
              <w:left w:w="120" w:type="dxa"/>
              <w:right w:w="120" w:type="dxa"/>
            </w:tcMar>
          </w:tcPr>
          <w:p>
            <w:r/>
            <w:r>
              <w:rPr>
                <w:sz w:val="19"/>
              </w:rPr>
              <w:t>Q3 tail</w:t>
            </w:r>
          </w:p>
        </w:tc>
        <w:tc>
          <w:tcPr>
            <w:tcW w:type="dxa" w:w="2880"/>
            <w:tcMar>
              <w:top w:w="80" w:type="dxa"/>
              <w:bottom w:w="80" w:type="dxa"/>
              <w:left w:w="120" w:type="dxa"/>
              <w:right w:w="120" w:type="dxa"/>
            </w:tcMar>
          </w:tcPr>
          <w:p>
            <w:r/>
            <w:r>
              <w:rPr>
                <w:sz w:val="19"/>
              </w:rPr>
              <w:t>16 - 30 Sep</w:t>
            </w:r>
          </w:p>
        </w:tc>
        <w:tc>
          <w:tcPr>
            <w:tcW w:type="dxa" w:w="3888"/>
            <w:tcMar>
              <w:top w:w="80" w:type="dxa"/>
              <w:bottom w:w="80" w:type="dxa"/>
              <w:left w:w="120" w:type="dxa"/>
              <w:right w:w="120" w:type="dxa"/>
            </w:tcMar>
          </w:tcPr>
          <w:p>
            <w:r/>
            <w:r>
              <w:rPr>
                <w:sz w:val="19"/>
              </w:rPr>
              <w:t>0</w:t>
            </w:r>
          </w:p>
        </w:tc>
      </w:tr>
      <w:tr>
        <w:tc>
          <w:tcPr>
            <w:tcW w:type="dxa" w:w="2160"/>
            <w:tcMar>
              <w:top w:w="80" w:type="dxa"/>
              <w:bottom w:w="80" w:type="dxa"/>
              <w:left w:w="120" w:type="dxa"/>
              <w:right w:w="120" w:type="dxa"/>
            </w:tcMar>
          </w:tcPr>
          <w:p>
            <w:r/>
            <w:r>
              <w:rPr>
                <w:sz w:val="19"/>
              </w:rPr>
              <w:t>Q4-2026</w:t>
            </w:r>
          </w:p>
        </w:tc>
        <w:tc>
          <w:tcPr>
            <w:tcW w:type="dxa" w:w="2880"/>
            <w:tcMar>
              <w:top w:w="80" w:type="dxa"/>
              <w:bottom w:w="80" w:type="dxa"/>
              <w:left w:w="120" w:type="dxa"/>
              <w:right w:w="120" w:type="dxa"/>
            </w:tcMar>
          </w:tcPr>
          <w:p>
            <w:r/>
            <w:r>
              <w:rPr>
                <w:sz w:val="19"/>
              </w:rPr>
              <w:t>16 Sep - 15 Dec</w:t>
            </w:r>
          </w:p>
        </w:tc>
        <w:tc>
          <w:tcPr>
            <w:tcW w:type="dxa" w:w="3888"/>
            <w:tcMar>
              <w:top w:w="80" w:type="dxa"/>
              <w:bottom w:w="80" w:type="dxa"/>
              <w:left w:w="120" w:type="dxa"/>
              <w:right w:w="120" w:type="dxa"/>
            </w:tcMar>
          </w:tcPr>
          <w:p>
            <w:r/>
            <w:r>
              <w:rPr>
                <w:sz w:val="19"/>
              </w:rPr>
              <w:t>0</w:t>
            </w:r>
          </w:p>
        </w:tc>
      </w:tr>
    </w:tbl>
    <w:p/>
    <w:p>
      <w:pPr>
        <w:pStyle w:val="Heading3"/>
      </w:pPr>
      <w:r>
        <w:t>Selection: Starting Quarter = Q4</w:t>
      </w:r>
    </w:p>
    <w:p>
      <w:pPr>
        <w:spacing w:after="120"/>
      </w:pPr>
      <w:r>
        <w:rPr>
          <w:b w:val="0"/>
          <w:i w:val="0"/>
        </w:rPr>
        <w:t>Q4 gets the clean 1 Oct start. INV-004 (due 10 Jul) is now also outside the window - none of the four invoices land in any period column:</w:t>
      </w:r>
    </w:p>
    <w:tbl>
      <w:tblPr>
        <w:tblStyle w:val="LightGrid-Accent1"/>
        <w:tblW w:type="auto" w:w="0"/>
        <w:jc w:val="center"/>
        <w:tblLook w:firstColumn="1" w:firstRow="1" w:lastColumn="0" w:lastRow="0" w:noHBand="0" w:noVBand="1" w:val="04A0"/>
      </w:tblPr>
      <w:tblGrid>
        <w:gridCol w:w="3249"/>
        <w:gridCol w:w="3249"/>
        <w:gridCol w:w="3249"/>
      </w:tblGrid>
      <w:tr>
        <w:tc>
          <w:tcPr>
            <w:tcW w:type="dxa" w:w="2160"/>
            <w:shd w:val="clear" w:color="auto" w:fill="1F3A5F"/>
            <w:tcMar>
              <w:top w:w="80" w:type="dxa"/>
              <w:bottom w:w="80" w:type="dxa"/>
              <w:left w:w="120" w:type="dxa"/>
              <w:right w:w="120" w:type="dxa"/>
            </w:tcMar>
          </w:tcPr>
          <w:p>
            <w:r/>
            <w:r>
              <w:rPr>
                <w:b/>
                <w:color w:val="FFFFFF"/>
              </w:rPr>
              <w:t>Period column</w:t>
            </w:r>
          </w:p>
        </w:tc>
        <w:tc>
          <w:tcPr>
            <w:tcW w:type="dxa" w:w="2880"/>
            <w:shd w:val="clear" w:color="auto" w:fill="1F3A5F"/>
            <w:tcMar>
              <w:top w:w="80" w:type="dxa"/>
              <w:bottom w:w="80" w:type="dxa"/>
              <w:left w:w="120" w:type="dxa"/>
              <w:right w:w="120" w:type="dxa"/>
            </w:tcMar>
          </w:tcPr>
          <w:p>
            <w:r/>
            <w:r>
              <w:rPr>
                <w:b/>
                <w:color w:val="FFFFFF"/>
              </w:rPr>
              <w:t>Date range</w:t>
            </w:r>
          </w:p>
        </w:tc>
        <w:tc>
          <w:tcPr>
            <w:tcW w:type="dxa" w:w="3888"/>
            <w:shd w:val="clear" w:color="auto" w:fill="1F3A5F"/>
            <w:tcMar>
              <w:top w:w="80" w:type="dxa"/>
              <w:bottom w:w="80" w:type="dxa"/>
              <w:left w:w="120" w:type="dxa"/>
              <w:right w:w="120" w:type="dxa"/>
            </w:tcMar>
          </w:tcPr>
          <w:p>
            <w:r/>
            <w:r>
              <w:rPr>
                <w:b/>
                <w:color w:val="FFFFFF"/>
              </w:rPr>
              <w:t>Amount captured</w:t>
            </w:r>
          </w:p>
        </w:tc>
      </w:tr>
      <w:tr>
        <w:tc>
          <w:tcPr>
            <w:tcW w:type="dxa" w:w="2160"/>
            <w:tcMar>
              <w:top w:w="80" w:type="dxa"/>
              <w:bottom w:w="80" w:type="dxa"/>
              <w:left w:w="120" w:type="dxa"/>
              <w:right w:w="120" w:type="dxa"/>
            </w:tcMar>
          </w:tcPr>
          <w:p>
            <w:r/>
            <w:r>
              <w:rPr>
                <w:sz w:val="19"/>
              </w:rPr>
              <w:t>Q4-2026</w:t>
            </w:r>
          </w:p>
        </w:tc>
        <w:tc>
          <w:tcPr>
            <w:tcW w:type="dxa" w:w="2880"/>
            <w:tcMar>
              <w:top w:w="80" w:type="dxa"/>
              <w:bottom w:w="80" w:type="dxa"/>
              <w:left w:w="120" w:type="dxa"/>
              <w:right w:w="120" w:type="dxa"/>
            </w:tcMar>
          </w:tcPr>
          <w:p>
            <w:r/>
            <w:r>
              <w:rPr>
                <w:sz w:val="19"/>
              </w:rPr>
              <w:t>1 Oct - 15 Dec</w:t>
            </w:r>
          </w:p>
        </w:tc>
        <w:tc>
          <w:tcPr>
            <w:tcW w:type="dxa" w:w="3888"/>
            <w:tcMar>
              <w:top w:w="80" w:type="dxa"/>
              <w:bottom w:w="80" w:type="dxa"/>
              <w:left w:w="120" w:type="dxa"/>
              <w:right w:w="120" w:type="dxa"/>
            </w:tcMar>
          </w:tcPr>
          <w:p>
            <w:r/>
            <w:r>
              <w:rPr>
                <w:sz w:val="19"/>
              </w:rPr>
              <w:t>0</w:t>
            </w:r>
          </w:p>
        </w:tc>
      </w:tr>
      <w:tr>
        <w:tc>
          <w:tcPr>
            <w:tcW w:type="dxa" w:w="2160"/>
            <w:tcMar>
              <w:top w:w="80" w:type="dxa"/>
              <w:bottom w:w="80" w:type="dxa"/>
              <w:left w:w="120" w:type="dxa"/>
              <w:right w:w="120" w:type="dxa"/>
            </w:tcMar>
          </w:tcPr>
          <w:p>
            <w:r/>
            <w:r>
              <w:rPr>
                <w:sz w:val="19"/>
              </w:rPr>
              <w:t>Q4 tail</w:t>
            </w:r>
          </w:p>
        </w:tc>
        <w:tc>
          <w:tcPr>
            <w:tcW w:type="dxa" w:w="2880"/>
            <w:tcMar>
              <w:top w:w="80" w:type="dxa"/>
              <w:bottom w:w="80" w:type="dxa"/>
              <w:left w:w="120" w:type="dxa"/>
              <w:right w:w="120" w:type="dxa"/>
            </w:tcMar>
          </w:tcPr>
          <w:p>
            <w:r/>
            <w:r>
              <w:rPr>
                <w:sz w:val="19"/>
              </w:rPr>
              <w:t>16 - 31 Dec</w:t>
            </w:r>
          </w:p>
        </w:tc>
        <w:tc>
          <w:tcPr>
            <w:tcW w:type="dxa" w:w="3888"/>
            <w:tcMar>
              <w:top w:w="80" w:type="dxa"/>
              <w:bottom w:w="80" w:type="dxa"/>
              <w:left w:w="120" w:type="dxa"/>
              <w:right w:w="120" w:type="dxa"/>
            </w:tcMar>
          </w:tcPr>
          <w:p>
            <w:r/>
            <w:r>
              <w:rPr>
                <w:sz w:val="19"/>
              </w:rPr>
              <w:t>0</w:t>
            </w:r>
          </w:p>
        </w:tc>
      </w:tr>
    </w:tbl>
    <w:p/>
    <w:tbl>
      <w:tblPr>
        <w:tblW w:type="auto" w:w="0"/>
        <w:jc w:val="center"/>
        <w:tblLook w:firstColumn="1" w:firstRow="1" w:lastColumn="0" w:lastRow="0" w:noHBand="0" w:noVBand="1" w:val="04A0"/>
      </w:tblPr>
      <w:tblGrid>
        <w:gridCol w:w="9746"/>
      </w:tblGrid>
      <w:tr>
        <w:tc>
          <w:tcPr>
            <w:tcW w:type="dxa" w:w="9746"/>
            <w:shd w:val="clear" w:color="auto" w:fill="FFF4CE"/>
            <w:tcMar>
              <w:top w:w="140" w:type="dxa"/>
              <w:bottom w:w="140" w:type="dxa"/>
              <w:left w:w="200" w:type="dxa"/>
              <w:right w:w="200" w:type="dxa"/>
            </w:tcMar>
          </w:tcPr>
          <w:p>
            <w:r>
              <w:rPr>
                <w:b/>
              </w:rPr>
              <w:t xml:space="preserve">The lesson:  </w:t>
            </w:r>
            <w:r>
              <w:t>The same four invoices, same As on Date, same customer - but the forecast columns tell a completely different story depending purely on which quarter you tell Orion is "current." Always pick the Starting Quarter that matches the calendar quarter you are actually forecasting for right now.</w:t>
            </w:r>
          </w:p>
        </w:tc>
      </w:tr>
    </w:tbl>
    <w:p/>
    <w:p>
      <w:r>
        <w:br w:type="page"/>
      </w:r>
    </w:p>
    <w:p>
      <w:pPr>
        <w:pStyle w:val="Heading2"/>
      </w:pPr>
      <w:r>
        <w:t>1.7 Blocking rules: which balances get zeroed out of the forecast</w:t>
      </w:r>
    </w:p>
    <w:p>
      <w:pPr>
        <w:spacing w:after="120"/>
      </w:pPr>
      <w:r>
        <w:rPr>
          <w:b w:val="0"/>
          <w:i w:val="0"/>
        </w:rPr>
        <w:t>Orion has its own exclusion list, separate from Tool 2's "only 12301" rule. A row's quarter/period amount is forced to zero (removed from the forward collections forecast) if ANY of the following is true - note these apply only to the forecast columns, not to the aging-bucket totals, which still show the real numbers:</w:t>
      </w:r>
    </w:p>
    <w:tbl>
      <w:tblPr>
        <w:tblStyle w:val="LightGrid-Accent1"/>
        <w:tblW w:type="auto" w:w="0"/>
        <w:jc w:val="center"/>
        <w:tblLook w:firstColumn="1" w:firstRow="1" w:lastColumn="0" w:lastRow="0" w:noHBand="0" w:noVBand="1" w:val="04A0"/>
      </w:tblPr>
      <w:tblGrid>
        <w:gridCol w:w="3249"/>
        <w:gridCol w:w="3249"/>
        <w:gridCol w:w="3249"/>
      </w:tblGrid>
      <w:tr>
        <w:tc>
          <w:tcPr>
            <w:tcW w:type="dxa" w:w="576"/>
            <w:shd w:val="clear" w:color="auto" w:fill="1F3A5F"/>
            <w:tcMar>
              <w:top w:w="80" w:type="dxa"/>
              <w:bottom w:w="80" w:type="dxa"/>
              <w:left w:w="120" w:type="dxa"/>
              <w:right w:w="120" w:type="dxa"/>
            </w:tcMar>
          </w:tcPr>
          <w:p>
            <w:r/>
            <w:r>
              <w:rPr>
                <w:b/>
                <w:color w:val="FFFFFF"/>
              </w:rPr>
              <w:t>#</w:t>
            </w:r>
          </w:p>
        </w:tc>
        <w:tc>
          <w:tcPr>
            <w:tcW w:type="dxa" w:w="4320"/>
            <w:shd w:val="clear" w:color="auto" w:fill="1F3A5F"/>
            <w:tcMar>
              <w:top w:w="80" w:type="dxa"/>
              <w:bottom w:w="80" w:type="dxa"/>
              <w:left w:w="120" w:type="dxa"/>
              <w:right w:w="120" w:type="dxa"/>
            </w:tcMar>
          </w:tcPr>
          <w:p>
            <w:r/>
            <w:r>
              <w:rPr>
                <w:b/>
                <w:color w:val="FFFFFF"/>
              </w:rPr>
              <w:t>Condition</w:t>
            </w:r>
          </w:p>
        </w:tc>
        <w:tc>
          <w:tcPr>
            <w:tcW w:type="dxa" w:w="4032"/>
            <w:shd w:val="clear" w:color="auto" w:fill="1F3A5F"/>
            <w:tcMar>
              <w:top w:w="80" w:type="dxa"/>
              <w:bottom w:w="80" w:type="dxa"/>
              <w:left w:w="120" w:type="dxa"/>
              <w:right w:w="120" w:type="dxa"/>
            </w:tcMar>
          </w:tcPr>
          <w:p>
            <w:r/>
            <w:r>
              <w:rPr>
                <w:b/>
                <w:color w:val="FFFFFF"/>
              </w:rPr>
              <w:t>Examples</w:t>
            </w:r>
          </w:p>
        </w:tc>
      </w:tr>
      <w:tr>
        <w:tc>
          <w:tcPr>
            <w:tcW w:type="dxa" w:w="576"/>
            <w:tcMar>
              <w:top w:w="80" w:type="dxa"/>
              <w:bottom w:w="80" w:type="dxa"/>
              <w:left w:w="120" w:type="dxa"/>
              <w:right w:w="120" w:type="dxa"/>
            </w:tcMar>
          </w:tcPr>
          <w:p>
            <w:r/>
            <w:r>
              <w:rPr>
                <w:sz w:val="19"/>
              </w:rPr>
              <w:t>1</w:t>
            </w:r>
          </w:p>
        </w:tc>
        <w:tc>
          <w:tcPr>
            <w:tcW w:type="dxa" w:w="4320"/>
            <w:tcMar>
              <w:top w:w="80" w:type="dxa"/>
              <w:bottom w:w="80" w:type="dxa"/>
              <w:left w:w="120" w:type="dxa"/>
              <w:right w:w="120" w:type="dxa"/>
            </w:tcMar>
          </w:tcPr>
          <w:p>
            <w:r/>
            <w:r>
              <w:rPr>
                <w:sz w:val="19"/>
              </w:rPr>
              <w:t>Customer name contains (any case)</w:t>
            </w:r>
          </w:p>
        </w:tc>
        <w:tc>
          <w:tcPr>
            <w:tcW w:type="dxa" w:w="4032"/>
            <w:tcMar>
              <w:top w:w="80" w:type="dxa"/>
              <w:bottom w:w="80" w:type="dxa"/>
              <w:left w:w="120" w:type="dxa"/>
              <w:right w:w="120" w:type="dxa"/>
            </w:tcMar>
          </w:tcPr>
          <w:p>
            <w:r/>
            <w:r>
              <w:rPr>
                <w:sz w:val="19"/>
              </w:rPr>
              <w:t>MINDWARE, AKLANIAT, IFIX</w:t>
            </w:r>
          </w:p>
        </w:tc>
      </w:tr>
      <w:tr>
        <w:tc>
          <w:tcPr>
            <w:tcW w:type="dxa" w:w="576"/>
            <w:tcMar>
              <w:top w:w="80" w:type="dxa"/>
              <w:bottom w:w="80" w:type="dxa"/>
              <w:left w:w="120" w:type="dxa"/>
              <w:right w:w="120" w:type="dxa"/>
            </w:tcMar>
          </w:tcPr>
          <w:p>
            <w:r/>
            <w:r>
              <w:rPr>
                <w:sz w:val="19"/>
              </w:rPr>
              <w:t>2</w:t>
            </w:r>
          </w:p>
        </w:tc>
        <w:tc>
          <w:tcPr>
            <w:tcW w:type="dxa" w:w="4320"/>
            <w:tcMar>
              <w:top w:w="80" w:type="dxa"/>
              <w:bottom w:w="80" w:type="dxa"/>
              <w:left w:w="120" w:type="dxa"/>
              <w:right w:w="120" w:type="dxa"/>
            </w:tcMar>
          </w:tcPr>
          <w:p>
            <w:r/>
            <w:r>
              <w:rPr>
                <w:sz w:val="19"/>
              </w:rPr>
              <w:t>Main Account equals</w:t>
            </w:r>
          </w:p>
        </w:tc>
        <w:tc>
          <w:tcPr>
            <w:tcW w:type="dxa" w:w="4032"/>
            <w:tcMar>
              <w:top w:w="80" w:type="dxa"/>
              <w:bottom w:w="80" w:type="dxa"/>
              <w:left w:w="120" w:type="dxa"/>
              <w:right w:w="120" w:type="dxa"/>
            </w:tcMar>
          </w:tcPr>
          <w:p>
            <w:r/>
            <w:r>
              <w:rPr>
                <w:sz w:val="19"/>
              </w:rPr>
              <w:t>12302, 12304, or 12306</w:t>
            </w:r>
          </w:p>
        </w:tc>
      </w:tr>
      <w:tr>
        <w:tc>
          <w:tcPr>
            <w:tcW w:type="dxa" w:w="576"/>
            <w:tcMar>
              <w:top w:w="80" w:type="dxa"/>
              <w:bottom w:w="80" w:type="dxa"/>
              <w:left w:w="120" w:type="dxa"/>
              <w:right w:w="120" w:type="dxa"/>
            </w:tcMar>
          </w:tcPr>
          <w:p>
            <w:r/>
            <w:r>
              <w:rPr>
                <w:sz w:val="19"/>
              </w:rPr>
              <w:t>3</w:t>
            </w:r>
          </w:p>
        </w:tc>
        <w:tc>
          <w:tcPr>
            <w:tcW w:type="dxa" w:w="4320"/>
            <w:tcMar>
              <w:top w:w="80" w:type="dxa"/>
              <w:bottom w:w="80" w:type="dxa"/>
              <w:left w:w="120" w:type="dxa"/>
              <w:right w:w="120" w:type="dxa"/>
            </w:tcMar>
          </w:tcPr>
          <w:p>
            <w:r/>
            <w:r>
              <w:rPr>
                <w:sz w:val="19"/>
              </w:rPr>
              <w:t>Updated Status is not in</w:t>
            </w:r>
          </w:p>
        </w:tc>
        <w:tc>
          <w:tcPr>
            <w:tcW w:type="dxa" w:w="4032"/>
            <w:tcMar>
              <w:top w:w="80" w:type="dxa"/>
              <w:bottom w:w="80" w:type="dxa"/>
              <w:left w:w="120" w:type="dxa"/>
              <w:right w:w="120" w:type="dxa"/>
            </w:tcMar>
          </w:tcPr>
          <w:p>
            <w:r/>
            <w:r>
              <w:rPr>
                <w:sz w:val="19"/>
              </w:rPr>
              <w:t>GOOD, REGULAR, SUBSTANDARD</w:t>
            </w:r>
          </w:p>
        </w:tc>
      </w:tr>
    </w:tbl>
    <w:p/>
    <w:p>
      <w:pPr>
        <w:spacing w:after="120"/>
      </w:pPr>
      <w:r>
        <w:rPr>
          <w:b w:val="0"/>
          <w:i w:val="0"/>
        </w:rPr>
        <w:t>Worked example: a customer with a real $80,000 balance and status DOUBTFUL will show the full $80,000 in the aging-bucket columns (so the risk stays visible to anyone reviewing the sheet), but every quarter/period forecast column for that row will show 0 - the tool is telling you "do not count on collecting any of this on a forward-looking schedule."</w:t>
      </w:r>
    </w:p>
    <w:p>
      <w:pPr>
        <w:pStyle w:val="Heading2"/>
      </w:pPr>
      <w:r>
        <w:t>1.8 Common errors and what they mean</w:t>
      </w:r>
    </w:p>
    <w:tbl>
      <w:tblPr>
        <w:tblStyle w:val="LightGrid-Accent1"/>
        <w:tblW w:type="auto" w:w="0"/>
        <w:jc w:val="center"/>
        <w:tblLook w:firstColumn="1" w:firstRow="1" w:lastColumn="0" w:lastRow="0" w:noHBand="0" w:noVBand="1" w:val="04A0"/>
      </w:tblPr>
      <w:tblGrid>
        <w:gridCol w:w="4873"/>
        <w:gridCol w:w="4873"/>
      </w:tblGrid>
      <w:tr>
        <w:tc>
          <w:tcPr>
            <w:tcW w:type="dxa" w:w="3744"/>
            <w:shd w:val="clear" w:color="auto" w:fill="1F3A5F"/>
            <w:tcMar>
              <w:top w:w="80" w:type="dxa"/>
              <w:bottom w:w="80" w:type="dxa"/>
              <w:left w:w="120" w:type="dxa"/>
              <w:right w:w="120" w:type="dxa"/>
            </w:tcMar>
          </w:tcPr>
          <w:p>
            <w:r/>
            <w:r>
              <w:rPr>
                <w:b/>
                <w:color w:val="FFFFFF"/>
              </w:rPr>
              <w:t>Message</w:t>
            </w:r>
          </w:p>
        </w:tc>
        <w:tc>
          <w:tcPr>
            <w:tcW w:type="dxa" w:w="5760"/>
            <w:shd w:val="clear" w:color="auto" w:fill="1F3A5F"/>
            <w:tcMar>
              <w:top w:w="80" w:type="dxa"/>
              <w:bottom w:w="80" w:type="dxa"/>
              <w:left w:w="120" w:type="dxa"/>
              <w:right w:w="120" w:type="dxa"/>
            </w:tcMar>
          </w:tcPr>
          <w:p>
            <w:r/>
            <w:r>
              <w:rPr>
                <w:b/>
                <w:color w:val="FFFFFF"/>
              </w:rPr>
              <w:t>Meaning / fix</w:t>
            </w:r>
          </w:p>
        </w:tc>
      </w:tr>
      <w:tr>
        <w:tc>
          <w:tcPr>
            <w:tcW w:type="dxa" w:w="3744"/>
            <w:tcMar>
              <w:top w:w="80" w:type="dxa"/>
              <w:bottom w:w="80" w:type="dxa"/>
              <w:left w:w="120" w:type="dxa"/>
              <w:right w:w="120" w:type="dxa"/>
            </w:tcMar>
          </w:tcPr>
          <w:p>
            <w:r/>
            <w:r>
              <w:rPr>
                <w:sz w:val="19"/>
              </w:rPr>
              <w:t>"Cell B14 must contain 'As on Date'"</w:t>
            </w:r>
          </w:p>
        </w:tc>
        <w:tc>
          <w:tcPr>
            <w:tcW w:type="dxa" w:w="5760"/>
            <w:tcMar>
              <w:top w:w="80" w:type="dxa"/>
              <w:bottom w:w="80" w:type="dxa"/>
              <w:left w:w="120" w:type="dxa"/>
              <w:right w:w="120" w:type="dxa"/>
            </w:tcMar>
          </w:tcPr>
          <w:p>
            <w:r/>
            <w:r>
              <w:rPr>
                <w:sz w:val="19"/>
              </w:rPr>
              <w:t>B14 is empty. Check for merged cells or formatting that could be hiding the value.</w:t>
            </w:r>
          </w:p>
        </w:tc>
      </w:tr>
      <w:tr>
        <w:tc>
          <w:tcPr>
            <w:tcW w:type="dxa" w:w="3744"/>
            <w:tcMar>
              <w:top w:w="80" w:type="dxa"/>
              <w:bottom w:w="80" w:type="dxa"/>
              <w:left w:w="120" w:type="dxa"/>
              <w:right w:w="120" w:type="dxa"/>
            </w:tcMar>
          </w:tcPr>
          <w:p>
            <w:r/>
            <w:r>
              <w:rPr>
                <w:sz w:val="19"/>
              </w:rPr>
              <w:t>"As on Date in B14 is not a valid date"</w:t>
            </w:r>
          </w:p>
        </w:tc>
        <w:tc>
          <w:tcPr>
            <w:tcW w:type="dxa" w:w="5760"/>
            <w:tcMar>
              <w:top w:w="80" w:type="dxa"/>
              <w:bottom w:w="80" w:type="dxa"/>
              <w:left w:w="120" w:type="dxa"/>
              <w:right w:w="120" w:type="dxa"/>
            </w:tcMar>
          </w:tcPr>
          <w:p>
            <w:r/>
            <w:r>
              <w:rPr>
                <w:sz w:val="19"/>
              </w:rPr>
              <w:t>The value in B14 isn't a real date - retype it as a plain date, no text mixed in.</w:t>
            </w:r>
          </w:p>
        </w:tc>
      </w:tr>
      <w:tr>
        <w:tc>
          <w:tcPr>
            <w:tcW w:type="dxa" w:w="3744"/>
            <w:tcMar>
              <w:top w:w="80" w:type="dxa"/>
              <w:bottom w:w="80" w:type="dxa"/>
              <w:left w:w="120" w:type="dxa"/>
              <w:right w:w="120" w:type="dxa"/>
            </w:tcMar>
          </w:tcPr>
          <w:p>
            <w:r/>
            <w:r>
              <w:rPr>
                <w:sz w:val="19"/>
              </w:rPr>
              <w:t>"Missing column 'Not Due Amount'"</w:t>
            </w:r>
          </w:p>
        </w:tc>
        <w:tc>
          <w:tcPr>
            <w:tcW w:type="dxa" w:w="5760"/>
            <w:tcMar>
              <w:top w:w="80" w:type="dxa"/>
              <w:bottom w:w="80" w:type="dxa"/>
              <w:left w:w="120" w:type="dxa"/>
              <w:right w:w="120" w:type="dxa"/>
            </w:tcMar>
          </w:tcPr>
          <w:p>
            <w:r/>
            <w:r>
              <w:rPr>
                <w:sz w:val="19"/>
              </w:rPr>
              <w:t>Your file isn't using the standard AR Backlog template - check column headers exactly match what's expected.</w:t>
            </w:r>
          </w:p>
        </w:tc>
      </w:tr>
      <w:tr>
        <w:tc>
          <w:tcPr>
            <w:tcW w:type="dxa" w:w="3744"/>
            <w:tcMar>
              <w:top w:w="80" w:type="dxa"/>
              <w:bottom w:w="80" w:type="dxa"/>
              <w:left w:w="120" w:type="dxa"/>
              <w:right w:w="120" w:type="dxa"/>
            </w:tcMar>
          </w:tcPr>
          <w:p>
            <w:r/>
            <w:r>
              <w:rPr>
                <w:sz w:val="19"/>
              </w:rPr>
              <w:t>Red warning listing row numbers</w:t>
            </w:r>
          </w:p>
        </w:tc>
        <w:tc>
          <w:tcPr>
            <w:tcW w:type="dxa" w:w="5760"/>
            <w:tcMar>
              <w:top w:w="80" w:type="dxa"/>
              <w:bottom w:w="80" w:type="dxa"/>
              <w:left w:w="120" w:type="dxa"/>
              <w:right w:w="120" w:type="dxa"/>
            </w:tcMar>
          </w:tcPr>
          <w:p>
            <w:r/>
            <w:r>
              <w:rPr>
                <w:sz w:val="19"/>
              </w:rPr>
              <w:t>Those specific rows have a Document Date or Document Due Date that couldn't be parsed - the tool still runs, treating the bad date as the As on Date, but you should fix the source rows.</w:t>
            </w:r>
          </w:p>
        </w:tc>
      </w:tr>
      <w:tr>
        <w:tc>
          <w:tcPr>
            <w:tcW w:type="dxa" w:w="3744"/>
            <w:tcMar>
              <w:top w:w="80" w:type="dxa"/>
              <w:bottom w:w="80" w:type="dxa"/>
              <w:left w:w="120" w:type="dxa"/>
              <w:right w:w="120" w:type="dxa"/>
            </w:tcMar>
          </w:tcPr>
          <w:p>
            <w:r/>
            <w:r>
              <w:rPr>
                <w:sz w:val="19"/>
              </w:rPr>
              <w:t>Forecast column shows #VALUE! or #NAME?</w:t>
            </w:r>
          </w:p>
        </w:tc>
        <w:tc>
          <w:tcPr>
            <w:tcW w:type="dxa" w:w="5760"/>
            <w:tcMar>
              <w:top w:w="80" w:type="dxa"/>
              <w:bottom w:w="80" w:type="dxa"/>
              <w:left w:w="120" w:type="dxa"/>
              <w:right w:w="120" w:type="dxa"/>
            </w:tcMar>
          </w:tcPr>
          <w:p>
            <w:r/>
            <w:r>
              <w:rPr>
                <w:sz w:val="19"/>
              </w:rPr>
              <w:t>The typed "% for Qx" value isn't a number - use a decimal (0.8) or a percentage (80%), not text.</w:t>
            </w:r>
          </w:p>
        </w:tc>
      </w:tr>
      <w:tr>
        <w:tc>
          <w:tcPr>
            <w:tcW w:type="dxa" w:w="3744"/>
            <w:tcMar>
              <w:top w:w="80" w:type="dxa"/>
              <w:bottom w:w="80" w:type="dxa"/>
              <w:left w:w="120" w:type="dxa"/>
              <w:right w:w="120" w:type="dxa"/>
            </w:tcMar>
          </w:tcPr>
          <w:p>
            <w:r/>
            <w:r>
              <w:rPr>
                <w:sz w:val="19"/>
              </w:rPr>
              <w:t>Forecast shows 0 when you expected a number</w:t>
            </w:r>
          </w:p>
        </w:tc>
        <w:tc>
          <w:tcPr>
            <w:tcW w:type="dxa" w:w="5760"/>
            <w:tcMar>
              <w:top w:w="80" w:type="dxa"/>
              <w:bottom w:w="80" w:type="dxa"/>
              <w:left w:w="120" w:type="dxa"/>
              <w:right w:w="120" w:type="dxa"/>
            </w:tcMar>
          </w:tcPr>
          <w:p>
            <w:r/>
            <w:r>
              <w:rPr>
                <w:sz w:val="19"/>
              </w:rPr>
              <w:t>Check the three blocking conditions in section 1.7 above - one of them is almost always the cause.</w:t>
            </w:r>
          </w:p>
        </w:tc>
      </w:tr>
    </w:tbl>
    <w:p/>
    <w:p>
      <w:pPr>
        <w:pStyle w:val="Heading2"/>
      </w:pPr>
      <w:r>
        <w:t>1.9 Tool 1 summary</w:t>
      </w:r>
    </w:p>
    <w:p>
      <w:pPr>
        <w:pStyle w:val="ListBullet"/>
      </w:pPr>
      <w:r>
        <w:t>Ingests invoice-level AR data and enriches it with aging analysis and region classification</w:t>
      </w:r>
    </w:p>
    <w:p>
      <w:pPr>
        <w:pStyle w:val="ListBullet"/>
      </w:pPr>
      <w:r>
        <w:t>Aggregates to one row per customer + Main Account, with fixed aging buckets that never change with the Starting Quarter selection</w:t>
      </w:r>
    </w:p>
    <w:p>
      <w:pPr>
        <w:pStyle w:val="ListBullet"/>
      </w:pPr>
      <w:r>
        <w:t>Builds forward collection-forecast columns whose date ranges DO depend on the Starting Quarter selection - always pick the one matching your current calendar quarter</w:t>
      </w:r>
    </w:p>
    <w:p>
      <w:pPr>
        <w:pStyle w:val="ListBullet"/>
      </w:pPr>
      <w:r>
        <w:t>Lets a credit manager type one percentage per period and automatically carries the uncollected remainder forward into the next period's forecast</w:t>
      </w:r>
    </w:p>
    <w:p>
      <w:pPr>
        <w:pStyle w:val="ListBullet"/>
      </w:pPr>
      <w:r>
        <w:t>Excludes certain customers/accounts/statuses from the forecast columns only, never from the underlying aging totals</w:t>
      </w:r>
    </w:p>
    <w:p>
      <w:pPr>
        <w:pStyle w:val="ListBullet"/>
      </w:pPr>
      <w:r>
        <w:t>Its By_Customer sheet is the direct input to Tool 2 (Part 2)</w:t>
      </w:r>
    </w:p>
    <w:p>
      <w:r>
        <w:br w:type="page"/>
      </w:r>
    </w:p>
    <w:p>
      <w:pPr>
        <w:pStyle w:val="Heading1"/>
      </w:pPr>
      <w:r>
        <w:t>Part 2 - Tool 2: BUD2026 Quarterly Provision Model</w:t>
      </w:r>
    </w:p>
    <w:p>
      <w:pPr>
        <w:pStyle w:val="Heading2"/>
      </w:pPr>
      <w:r>
        <w:t>2.1 What BUD2026 does, and how it differs from Tool 1</w:t>
      </w:r>
    </w:p>
    <w:p>
      <w:pPr>
        <w:spacing w:after="120"/>
      </w:pPr>
      <w:r>
        <w:rPr>
          <w:b w:val="0"/>
          <w:i w:val="0"/>
        </w:rPr>
        <w:t>Where Tool 1 (Orion) forecasts how much money is coming in, Tool 2 forecasts how much expense we should book for the money that might never come in - the provision, defined in section 0.3. It takes Orion's By_Customer output as its starting balances, adds an insurance master and a single all-important date, and produces one workbook where every customer has a full quarter-by-quarter (Q1-Q4 2026) forecast of provision, driven by live formulas a credit manager can adjust by typing collection assumptions.</w:t>
      </w:r>
    </w:p>
    <w:tbl>
      <w:tblPr>
        <w:tblW w:type="auto" w:w="0"/>
        <w:jc w:val="center"/>
        <w:tblLook w:firstColumn="1" w:firstRow="1" w:lastColumn="0" w:lastRow="0" w:noHBand="0" w:noVBand="1" w:val="04A0"/>
      </w:tblPr>
      <w:tblGrid>
        <w:gridCol w:w="9746"/>
      </w:tblGrid>
      <w:tr>
        <w:tc>
          <w:tcPr>
            <w:tcW w:type="dxa" w:w="9746"/>
            <w:shd w:val="clear" w:color="auto" w:fill="D9E8F5"/>
            <w:tcMar>
              <w:top w:w="140" w:type="dxa"/>
              <w:bottom w:w="140" w:type="dxa"/>
              <w:left w:w="200" w:type="dxa"/>
              <w:right w:w="200" w:type="dxa"/>
            </w:tcMar>
          </w:tcPr>
          <w:p>
            <w:r>
              <w:rPr>
                <w:b/>
              </w:rPr>
              <w:t xml:space="preserve">In one sentence:  </w:t>
            </w:r>
            <w:r>
              <w:t>Tool 1 answers "how much will we collect?" Tool 2 answers "of what's left, how much should we book as a loss - and how does that number move if our collection assumptions change?"</w:t>
            </w:r>
          </w:p>
        </w:tc>
      </w:tr>
    </w:tbl>
    <w:p/>
    <w:p>
      <w:pPr>
        <w:pStyle w:val="Heading2"/>
      </w:pPr>
      <w:r>
        <w:t>2.2 What you upload</w:t>
      </w:r>
    </w:p>
    <w:tbl>
      <w:tblPr>
        <w:tblStyle w:val="LightGrid-Accent1"/>
        <w:tblW w:type="auto" w:w="0"/>
        <w:jc w:val="center"/>
        <w:tblLook w:firstColumn="1" w:firstRow="1" w:lastColumn="0" w:lastRow="0" w:noHBand="0" w:noVBand="1" w:val="04A0"/>
      </w:tblPr>
      <w:tblGrid>
        <w:gridCol w:w="3249"/>
        <w:gridCol w:w="3249"/>
        <w:gridCol w:w="3249"/>
      </w:tblGrid>
      <w:tr>
        <w:tc>
          <w:tcPr>
            <w:tcW w:type="dxa" w:w="3168"/>
            <w:shd w:val="clear" w:color="auto" w:fill="1F3A5F"/>
            <w:tcMar>
              <w:top w:w="80" w:type="dxa"/>
              <w:bottom w:w="80" w:type="dxa"/>
              <w:left w:w="120" w:type="dxa"/>
              <w:right w:w="120" w:type="dxa"/>
            </w:tcMar>
          </w:tcPr>
          <w:p>
            <w:r/>
            <w:r>
              <w:rPr>
                <w:b/>
                <w:color w:val="FFFFFF"/>
              </w:rPr>
              <w:t>Input</w:t>
            </w:r>
          </w:p>
        </w:tc>
        <w:tc>
          <w:tcPr>
            <w:tcW w:type="dxa" w:w="1584"/>
            <w:shd w:val="clear" w:color="auto" w:fill="1F3A5F"/>
            <w:tcMar>
              <w:top w:w="80" w:type="dxa"/>
              <w:bottom w:w="80" w:type="dxa"/>
              <w:left w:w="120" w:type="dxa"/>
              <w:right w:w="120" w:type="dxa"/>
            </w:tcMar>
          </w:tcPr>
          <w:p>
            <w:r/>
            <w:r>
              <w:rPr>
                <w:b/>
                <w:color w:val="FFFFFF"/>
              </w:rPr>
              <w:t>Required?</w:t>
            </w:r>
          </w:p>
        </w:tc>
        <w:tc>
          <w:tcPr>
            <w:tcW w:type="dxa" w:w="4752"/>
            <w:shd w:val="clear" w:color="auto" w:fill="1F3A5F"/>
            <w:tcMar>
              <w:top w:w="80" w:type="dxa"/>
              <w:bottom w:w="80" w:type="dxa"/>
              <w:left w:w="120" w:type="dxa"/>
              <w:right w:w="120" w:type="dxa"/>
            </w:tcMar>
          </w:tcPr>
          <w:p>
            <w:r/>
            <w:r>
              <w:rPr>
                <w:b/>
                <w:color w:val="FFFFFF"/>
              </w:rPr>
              <w:t>Purpose</w:t>
            </w:r>
          </w:p>
        </w:tc>
      </w:tr>
      <w:tr>
        <w:tc>
          <w:tcPr>
            <w:tcW w:type="dxa" w:w="3168"/>
            <w:tcMar>
              <w:top w:w="80" w:type="dxa"/>
              <w:bottom w:w="80" w:type="dxa"/>
              <w:left w:w="120" w:type="dxa"/>
              <w:right w:w="120" w:type="dxa"/>
            </w:tcMar>
          </w:tcPr>
          <w:p>
            <w:r/>
            <w:r>
              <w:rPr>
                <w:sz w:val="19"/>
              </w:rPr>
              <w:t>By_Customer file (Tool 1 output)</w:t>
            </w:r>
          </w:p>
        </w:tc>
        <w:tc>
          <w:tcPr>
            <w:tcW w:type="dxa" w:w="1584"/>
            <w:tcMar>
              <w:top w:w="80" w:type="dxa"/>
              <w:bottom w:w="80" w:type="dxa"/>
              <w:left w:w="120" w:type="dxa"/>
              <w:right w:w="120" w:type="dxa"/>
            </w:tcMar>
          </w:tcPr>
          <w:p>
            <w:r/>
            <w:r>
              <w:rPr>
                <w:sz w:val="19"/>
              </w:rPr>
              <w:t>Yes</w:t>
            </w:r>
          </w:p>
        </w:tc>
        <w:tc>
          <w:tcPr>
            <w:tcW w:type="dxa" w:w="4752"/>
            <w:tcMar>
              <w:top w:w="80" w:type="dxa"/>
              <w:bottom w:w="80" w:type="dxa"/>
              <w:left w:w="120" w:type="dxa"/>
              <w:right w:w="120" w:type="dxa"/>
            </w:tcMar>
          </w:tcPr>
          <w:p>
            <w:r/>
            <w:r>
              <w:rPr>
                <w:sz w:val="19"/>
              </w:rPr>
              <w:t>Starting AR balances per customer, already split into aging buckets</w:t>
            </w:r>
          </w:p>
        </w:tc>
      </w:tr>
      <w:tr>
        <w:tc>
          <w:tcPr>
            <w:tcW w:type="dxa" w:w="3168"/>
            <w:tcMar>
              <w:top w:w="80" w:type="dxa"/>
              <w:bottom w:w="80" w:type="dxa"/>
              <w:left w:w="120" w:type="dxa"/>
              <w:right w:w="120" w:type="dxa"/>
            </w:tcMar>
          </w:tcPr>
          <w:p>
            <w:r/>
            <w:r>
              <w:rPr>
                <w:sz w:val="19"/>
              </w:rPr>
              <w:t>Insurance Master</w:t>
            </w:r>
          </w:p>
        </w:tc>
        <w:tc>
          <w:tcPr>
            <w:tcW w:type="dxa" w:w="1584"/>
            <w:tcMar>
              <w:top w:w="80" w:type="dxa"/>
              <w:bottom w:w="80" w:type="dxa"/>
              <w:left w:w="120" w:type="dxa"/>
              <w:right w:w="120" w:type="dxa"/>
            </w:tcMar>
          </w:tcPr>
          <w:p>
            <w:r/>
            <w:r>
              <w:rPr>
                <w:sz w:val="19"/>
              </w:rPr>
              <w:t>Optional</w:t>
            </w:r>
          </w:p>
        </w:tc>
        <w:tc>
          <w:tcPr>
            <w:tcW w:type="dxa" w:w="4752"/>
            <w:tcMar>
              <w:top w:w="80" w:type="dxa"/>
              <w:bottom w:w="80" w:type="dxa"/>
              <w:left w:w="120" w:type="dxa"/>
              <w:right w:w="120" w:type="dxa"/>
            </w:tcMar>
          </w:tcPr>
          <w:p>
            <w:r/>
            <w:r>
              <w:rPr>
                <w:sz w:val="19"/>
              </w:rPr>
              <w:t>Per-customer insurance limits, used for the 5% insured rate discount (section 0.7)</w:t>
            </w:r>
          </w:p>
        </w:tc>
      </w:tr>
      <w:tr>
        <w:tc>
          <w:tcPr>
            <w:tcW w:type="dxa" w:w="3168"/>
            <w:tcMar>
              <w:top w:w="80" w:type="dxa"/>
              <w:bottom w:w="80" w:type="dxa"/>
              <w:left w:w="120" w:type="dxa"/>
              <w:right w:w="120" w:type="dxa"/>
            </w:tcMar>
          </w:tcPr>
          <w:p>
            <w:r/>
            <w:r>
              <w:rPr>
                <w:sz w:val="19"/>
              </w:rPr>
              <w:t>AR Data Date</w:t>
            </w:r>
          </w:p>
        </w:tc>
        <w:tc>
          <w:tcPr>
            <w:tcW w:type="dxa" w:w="1584"/>
            <w:tcMar>
              <w:top w:w="80" w:type="dxa"/>
              <w:bottom w:w="80" w:type="dxa"/>
              <w:left w:w="120" w:type="dxa"/>
              <w:right w:w="120" w:type="dxa"/>
            </w:tcMar>
          </w:tcPr>
          <w:p>
            <w:r/>
            <w:r>
              <w:rPr>
                <w:sz w:val="19"/>
              </w:rPr>
              <w:t>Yes</w:t>
            </w:r>
          </w:p>
        </w:tc>
        <w:tc>
          <w:tcPr>
            <w:tcW w:type="dxa" w:w="4752"/>
            <w:tcMar>
              <w:top w:w="80" w:type="dxa"/>
              <w:bottom w:w="80" w:type="dxa"/>
              <w:left w:w="120" w:type="dxa"/>
              <w:right w:w="120" w:type="dxa"/>
            </w:tcMar>
          </w:tcPr>
          <w:p>
            <w:r/>
            <w:r>
              <w:rPr>
                <w:sz w:val="19"/>
              </w:rPr>
              <w:t>The single reference date the entire workbook is built around - see section 2.3</w:t>
            </w:r>
          </w:p>
        </w:tc>
      </w:tr>
    </w:tbl>
    <w:p/>
    <w:p>
      <w:pPr>
        <w:pStyle w:val="Heading2"/>
      </w:pPr>
      <w:r>
        <w:t>2.3 The AR Data Date - the most important input in the whole tool</w:t>
      </w:r>
    </w:p>
    <w:p>
      <w:pPr>
        <w:spacing w:after="120"/>
      </w:pPr>
      <w:r>
        <w:rPr>
          <w:b w:val="0"/>
          <w:i w:val="0"/>
        </w:rPr>
        <w:t>Every formula in the workbook compares itself against this one date. The rule is simple: any quarter whose end date falls on or before the AR Data Date is treated as already closed history, and its Provision Effect / AR Provision FC formulas return exactly 0 - the model assumes that quarter's story is already finished and reflected in the real, current AR balance you uploaded. The first quarter whose end date is still in the future becomes the "active" quarter.</w:t>
      </w:r>
    </w:p>
    <w:tbl>
      <w:tblPr>
        <w:tblStyle w:val="LightGrid-Accent1"/>
        <w:tblW w:type="auto" w:w="0"/>
        <w:jc w:val="center"/>
        <w:tblLook w:firstColumn="1" w:firstRow="1" w:lastColumn="0" w:lastRow="0" w:noHBand="0" w:noVBand="1" w:val="04A0"/>
      </w:tblPr>
      <w:tblGrid>
        <w:gridCol w:w="4873"/>
        <w:gridCol w:w="4873"/>
      </w:tblGrid>
      <w:tr>
        <w:tc>
          <w:tcPr>
            <w:tcW w:type="dxa" w:w="3600"/>
            <w:shd w:val="clear" w:color="auto" w:fill="1F3A5F"/>
            <w:tcMar>
              <w:top w:w="80" w:type="dxa"/>
              <w:bottom w:w="80" w:type="dxa"/>
              <w:left w:w="120" w:type="dxa"/>
              <w:right w:w="120" w:type="dxa"/>
            </w:tcMar>
          </w:tcPr>
          <w:p>
            <w:r/>
            <w:r>
              <w:rPr>
                <w:b/>
                <w:color w:val="FFFFFF"/>
              </w:rPr>
              <w:t>AR Data Date falls...</w:t>
            </w:r>
          </w:p>
        </w:tc>
        <w:tc>
          <w:tcPr>
            <w:tcW w:type="dxa" w:w="4896"/>
            <w:shd w:val="clear" w:color="auto" w:fill="1F3A5F"/>
            <w:tcMar>
              <w:top w:w="80" w:type="dxa"/>
              <w:bottom w:w="80" w:type="dxa"/>
              <w:left w:w="120" w:type="dxa"/>
              <w:right w:w="120" w:type="dxa"/>
            </w:tcMar>
          </w:tcPr>
          <w:p>
            <w:r/>
            <w:r>
              <w:rPr>
                <w:b/>
                <w:color w:val="FFFFFF"/>
              </w:rPr>
              <w:t>Result</w:t>
            </w:r>
          </w:p>
        </w:tc>
      </w:tr>
      <w:tr>
        <w:tc>
          <w:tcPr>
            <w:tcW w:type="dxa" w:w="3600"/>
            <w:tcMar>
              <w:top w:w="80" w:type="dxa"/>
              <w:bottom w:w="80" w:type="dxa"/>
              <w:left w:w="120" w:type="dxa"/>
              <w:right w:w="120" w:type="dxa"/>
            </w:tcMar>
          </w:tcPr>
          <w:p>
            <w:r/>
            <w:r>
              <w:rPr>
                <w:sz w:val="19"/>
              </w:rPr>
              <w:t>Before 31 Mar 2026</w:t>
            </w:r>
          </w:p>
        </w:tc>
        <w:tc>
          <w:tcPr>
            <w:tcW w:type="dxa" w:w="4896"/>
            <w:tcMar>
              <w:top w:w="80" w:type="dxa"/>
              <w:bottom w:w="80" w:type="dxa"/>
              <w:left w:w="120" w:type="dxa"/>
              <w:right w:w="120" w:type="dxa"/>
            </w:tcMar>
          </w:tcPr>
          <w:p>
            <w:r/>
            <w:r>
              <w:rPr>
                <w:sz w:val="19"/>
              </w:rPr>
              <w:t>Q1 is active; Q2, Q3, Q4 are future</w:t>
            </w:r>
          </w:p>
        </w:tc>
      </w:tr>
      <w:tr>
        <w:tc>
          <w:tcPr>
            <w:tcW w:type="dxa" w:w="3600"/>
            <w:tcMar>
              <w:top w:w="80" w:type="dxa"/>
              <w:bottom w:w="80" w:type="dxa"/>
              <w:left w:w="120" w:type="dxa"/>
              <w:right w:w="120" w:type="dxa"/>
            </w:tcMar>
          </w:tcPr>
          <w:p>
            <w:r/>
            <w:r>
              <w:rPr>
                <w:sz w:val="19"/>
              </w:rPr>
              <w:t>Between 1 Apr and 30 Jun 2026</w:t>
            </w:r>
          </w:p>
        </w:tc>
        <w:tc>
          <w:tcPr>
            <w:tcW w:type="dxa" w:w="4896"/>
            <w:tcMar>
              <w:top w:w="80" w:type="dxa"/>
              <w:bottom w:w="80" w:type="dxa"/>
              <w:left w:w="120" w:type="dxa"/>
              <w:right w:w="120" w:type="dxa"/>
            </w:tcMar>
          </w:tcPr>
          <w:p>
            <w:r/>
            <w:r>
              <w:rPr>
                <w:sz w:val="19"/>
              </w:rPr>
              <w:t>Q1 is closed (0); Q2 is active</w:t>
            </w:r>
          </w:p>
        </w:tc>
      </w:tr>
      <w:tr>
        <w:tc>
          <w:tcPr>
            <w:tcW w:type="dxa" w:w="3600"/>
            <w:tcMar>
              <w:top w:w="80" w:type="dxa"/>
              <w:bottom w:w="80" w:type="dxa"/>
              <w:left w:w="120" w:type="dxa"/>
              <w:right w:w="120" w:type="dxa"/>
            </w:tcMar>
          </w:tcPr>
          <w:p>
            <w:r/>
            <w:r>
              <w:rPr>
                <w:sz w:val="19"/>
              </w:rPr>
              <w:t>Between 1 Jul and 30 Sep 2026</w:t>
            </w:r>
          </w:p>
        </w:tc>
        <w:tc>
          <w:tcPr>
            <w:tcW w:type="dxa" w:w="4896"/>
            <w:tcMar>
              <w:top w:w="80" w:type="dxa"/>
              <w:bottom w:w="80" w:type="dxa"/>
              <w:left w:w="120" w:type="dxa"/>
              <w:right w:w="120" w:type="dxa"/>
            </w:tcMar>
          </w:tcPr>
          <w:p>
            <w:r/>
            <w:r>
              <w:rPr>
                <w:sz w:val="19"/>
              </w:rPr>
              <w:t>Q1, Q2 closed (0); Q3 is active</w:t>
            </w:r>
          </w:p>
        </w:tc>
      </w:tr>
      <w:tr>
        <w:tc>
          <w:tcPr>
            <w:tcW w:type="dxa" w:w="3600"/>
            <w:tcMar>
              <w:top w:w="80" w:type="dxa"/>
              <w:bottom w:w="80" w:type="dxa"/>
              <w:left w:w="120" w:type="dxa"/>
              <w:right w:w="120" w:type="dxa"/>
            </w:tcMar>
          </w:tcPr>
          <w:p>
            <w:r/>
            <w:r>
              <w:rPr>
                <w:sz w:val="19"/>
              </w:rPr>
              <w:t>Between 1 Oct and 31 Dec 2026</w:t>
            </w:r>
          </w:p>
        </w:tc>
        <w:tc>
          <w:tcPr>
            <w:tcW w:type="dxa" w:w="4896"/>
            <w:tcMar>
              <w:top w:w="80" w:type="dxa"/>
              <w:bottom w:w="80" w:type="dxa"/>
              <w:left w:w="120" w:type="dxa"/>
              <w:right w:w="120" w:type="dxa"/>
            </w:tcMar>
          </w:tcPr>
          <w:p>
            <w:r/>
            <w:r>
              <w:rPr>
                <w:sz w:val="19"/>
              </w:rPr>
              <w:t>Q1, Q2, Q3 closed (0); Q4 is active</w:t>
            </w:r>
          </w:p>
        </w:tc>
      </w:tr>
    </w:tbl>
    <w:p/>
    <w:tbl>
      <w:tblPr>
        <w:tblW w:type="auto" w:w="0"/>
        <w:jc w:val="center"/>
        <w:tblLook w:firstColumn="1" w:firstRow="1" w:lastColumn="0" w:lastRow="0" w:noHBand="0" w:noVBand="1" w:val="04A0"/>
      </w:tblPr>
      <w:tblGrid>
        <w:gridCol w:w="9746"/>
      </w:tblGrid>
      <w:tr>
        <w:tc>
          <w:tcPr>
            <w:tcW w:type="dxa" w:w="9746"/>
            <w:shd w:val="clear" w:color="auto" w:fill="FFF4CE"/>
            <w:tcMar>
              <w:top w:w="140" w:type="dxa"/>
              <w:bottom w:w="140" w:type="dxa"/>
              <w:left w:w="200" w:type="dxa"/>
              <w:right w:w="200" w:type="dxa"/>
            </w:tcMar>
          </w:tcPr>
          <w:p>
            <w:r>
              <w:rPr>
                <w:b/>
              </w:rPr>
              <w:t xml:space="preserve">Practical workflow rule:  </w:t>
            </w:r>
            <w:r>
              <w:t>Every quarter, you get a FRESH By_Customer file from Tool 1 (reflecting whatever was really collected last quarter, so the AR balance is already smaller) and you regenerate Tool 2's workbook with an updated AR Data Date. Because the fresh balance already reflects prior collections, you should only ever fill in the Collections FC cell for the CURRENT, active quarter - leave earlier quarters' Collections FC blank in the new file, since their effect is already baked into the smaller starting balance. Filling in a past quarter's Collections FC on top of an already-reduced balance would double-count that collection.</w:t>
            </w:r>
          </w:p>
        </w:tc>
      </w:tr>
    </w:tbl>
    <w:p/>
    <w:p>
      <w:pPr>
        <w:pStyle w:val="Heading2"/>
      </w:pPr>
      <w:r>
        <w:t>2.4 The rate table (same as section 0.3) - reapplied every quarter</w:t>
      </w:r>
    </w:p>
    <w:p>
      <w:pPr>
        <w:spacing w:after="120"/>
      </w:pPr>
      <w:r>
        <w:rPr>
          <w:b w:val="0"/>
          <w:i w:val="0"/>
        </w:rPr>
        <w:t>As a reminder, applied identically to every quarter block in the workbook:</w:t>
      </w:r>
    </w:p>
    <w:tbl>
      <w:tblPr>
        <w:tblStyle w:val="LightGrid-Accent1"/>
        <w:tblW w:type="auto" w:w="0"/>
        <w:jc w:val="center"/>
        <w:tblLook w:firstColumn="1" w:firstRow="1" w:lastColumn="0" w:lastRow="0" w:noHBand="0" w:noVBand="1" w:val="04A0"/>
      </w:tblPr>
      <w:tblGrid>
        <w:gridCol w:w="4873"/>
        <w:gridCol w:w="4873"/>
      </w:tblGrid>
      <w:tr>
        <w:tc>
          <w:tcPr>
            <w:tcW w:type="dxa" w:w="2880"/>
            <w:shd w:val="clear" w:color="auto" w:fill="1F3A5F"/>
            <w:tcMar>
              <w:top w:w="80" w:type="dxa"/>
              <w:bottom w:w="80" w:type="dxa"/>
              <w:left w:w="120" w:type="dxa"/>
              <w:right w:w="120" w:type="dxa"/>
            </w:tcMar>
          </w:tcPr>
          <w:p>
            <w:r/>
            <w:r>
              <w:rPr>
                <w:b/>
                <w:color w:val="FFFFFF"/>
              </w:rPr>
              <w:t>Bucket</w:t>
            </w:r>
          </w:p>
        </w:tc>
        <w:tc>
          <w:tcPr>
            <w:tcW w:type="dxa" w:w="2304"/>
            <w:shd w:val="clear" w:color="auto" w:fill="1F3A5F"/>
            <w:tcMar>
              <w:top w:w="80" w:type="dxa"/>
              <w:bottom w:w="80" w:type="dxa"/>
              <w:left w:w="120" w:type="dxa"/>
              <w:right w:w="120" w:type="dxa"/>
            </w:tcMar>
          </w:tcPr>
          <w:p>
            <w:r/>
            <w:r>
              <w:rPr>
                <w:b/>
                <w:color w:val="FFFFFF"/>
              </w:rPr>
              <w:t>Rate</w:t>
            </w:r>
          </w:p>
        </w:tc>
      </w:tr>
      <w:tr>
        <w:tc>
          <w:tcPr>
            <w:tcW w:type="dxa" w:w="2880"/>
            <w:tcMar>
              <w:top w:w="80" w:type="dxa"/>
              <w:bottom w:w="80" w:type="dxa"/>
              <w:left w:w="120" w:type="dxa"/>
              <w:right w:w="120" w:type="dxa"/>
            </w:tcMar>
          </w:tcPr>
          <w:p>
            <w:r/>
            <w:r>
              <w:rPr>
                <w:sz w:val="19"/>
              </w:rPr>
              <w:t>Not Due</w:t>
            </w:r>
          </w:p>
        </w:tc>
        <w:tc>
          <w:tcPr>
            <w:tcW w:type="dxa" w:w="2304"/>
            <w:tcMar>
              <w:top w:w="80" w:type="dxa"/>
              <w:bottom w:w="80" w:type="dxa"/>
              <w:left w:w="120" w:type="dxa"/>
              <w:right w:w="120" w:type="dxa"/>
            </w:tcMar>
          </w:tcPr>
          <w:p>
            <w:r/>
            <w:r>
              <w:rPr>
                <w:sz w:val="19"/>
              </w:rPr>
              <w:t>3%</w:t>
            </w:r>
          </w:p>
        </w:tc>
      </w:tr>
      <w:tr>
        <w:tc>
          <w:tcPr>
            <w:tcW w:type="dxa" w:w="2880"/>
            <w:tcMar>
              <w:top w:w="80" w:type="dxa"/>
              <w:bottom w:w="80" w:type="dxa"/>
              <w:left w:w="120" w:type="dxa"/>
              <w:right w:w="120" w:type="dxa"/>
            </w:tcMar>
          </w:tcPr>
          <w:p>
            <w:r/>
            <w:r>
              <w:rPr>
                <w:sz w:val="19"/>
              </w:rPr>
              <w:t>1 to 30</w:t>
            </w:r>
          </w:p>
        </w:tc>
        <w:tc>
          <w:tcPr>
            <w:tcW w:type="dxa" w:w="2304"/>
            <w:tcMar>
              <w:top w:w="80" w:type="dxa"/>
              <w:bottom w:w="80" w:type="dxa"/>
              <w:left w:w="120" w:type="dxa"/>
              <w:right w:w="120" w:type="dxa"/>
            </w:tcMar>
          </w:tcPr>
          <w:p>
            <w:r/>
            <w:r>
              <w:rPr>
                <w:sz w:val="19"/>
              </w:rPr>
              <w:t>3%</w:t>
            </w:r>
          </w:p>
        </w:tc>
      </w:tr>
      <w:tr>
        <w:tc>
          <w:tcPr>
            <w:tcW w:type="dxa" w:w="2880"/>
            <w:tcMar>
              <w:top w:w="80" w:type="dxa"/>
              <w:bottom w:w="80" w:type="dxa"/>
              <w:left w:w="120" w:type="dxa"/>
              <w:right w:w="120" w:type="dxa"/>
            </w:tcMar>
          </w:tcPr>
          <w:p>
            <w:r/>
            <w:r>
              <w:rPr>
                <w:sz w:val="19"/>
              </w:rPr>
              <w:t>31 to 60</w:t>
            </w:r>
          </w:p>
        </w:tc>
        <w:tc>
          <w:tcPr>
            <w:tcW w:type="dxa" w:w="2304"/>
            <w:tcMar>
              <w:top w:w="80" w:type="dxa"/>
              <w:bottom w:w="80" w:type="dxa"/>
              <w:left w:w="120" w:type="dxa"/>
              <w:right w:w="120" w:type="dxa"/>
            </w:tcMar>
          </w:tcPr>
          <w:p>
            <w:r/>
            <w:r>
              <w:rPr>
                <w:sz w:val="19"/>
              </w:rPr>
              <w:t>3%</w:t>
            </w:r>
          </w:p>
        </w:tc>
      </w:tr>
      <w:tr>
        <w:tc>
          <w:tcPr>
            <w:tcW w:type="dxa" w:w="2880"/>
            <w:tcMar>
              <w:top w:w="80" w:type="dxa"/>
              <w:bottom w:w="80" w:type="dxa"/>
              <w:left w:w="120" w:type="dxa"/>
              <w:right w:w="120" w:type="dxa"/>
            </w:tcMar>
          </w:tcPr>
          <w:p>
            <w:r/>
            <w:r>
              <w:rPr>
                <w:sz w:val="19"/>
              </w:rPr>
              <w:t>61 to 90</w:t>
            </w:r>
          </w:p>
        </w:tc>
        <w:tc>
          <w:tcPr>
            <w:tcW w:type="dxa" w:w="2304"/>
            <w:tcMar>
              <w:top w:w="80" w:type="dxa"/>
              <w:bottom w:w="80" w:type="dxa"/>
              <w:left w:w="120" w:type="dxa"/>
              <w:right w:w="120" w:type="dxa"/>
            </w:tcMar>
          </w:tcPr>
          <w:p>
            <w:r/>
            <w:r>
              <w:rPr>
                <w:sz w:val="19"/>
              </w:rPr>
              <w:t>25%</w:t>
            </w:r>
          </w:p>
        </w:tc>
      </w:tr>
      <w:tr>
        <w:tc>
          <w:tcPr>
            <w:tcW w:type="dxa" w:w="2880"/>
            <w:tcMar>
              <w:top w:w="80" w:type="dxa"/>
              <w:bottom w:w="80" w:type="dxa"/>
              <w:left w:w="120" w:type="dxa"/>
              <w:right w:w="120" w:type="dxa"/>
            </w:tcMar>
          </w:tcPr>
          <w:p>
            <w:r/>
            <w:r>
              <w:rPr>
                <w:sz w:val="19"/>
              </w:rPr>
              <w:t>91 to 120</w:t>
            </w:r>
          </w:p>
        </w:tc>
        <w:tc>
          <w:tcPr>
            <w:tcW w:type="dxa" w:w="2304"/>
            <w:tcMar>
              <w:top w:w="80" w:type="dxa"/>
              <w:bottom w:w="80" w:type="dxa"/>
              <w:left w:w="120" w:type="dxa"/>
              <w:right w:w="120" w:type="dxa"/>
            </w:tcMar>
          </w:tcPr>
          <w:p>
            <w:r/>
            <w:r>
              <w:rPr>
                <w:sz w:val="19"/>
              </w:rPr>
              <w:t>50%</w:t>
            </w:r>
          </w:p>
        </w:tc>
      </w:tr>
      <w:tr>
        <w:tc>
          <w:tcPr>
            <w:tcW w:type="dxa" w:w="2880"/>
            <w:tcMar>
              <w:top w:w="80" w:type="dxa"/>
              <w:bottom w:w="80" w:type="dxa"/>
              <w:left w:w="120" w:type="dxa"/>
              <w:right w:w="120" w:type="dxa"/>
            </w:tcMar>
          </w:tcPr>
          <w:p>
            <w:r/>
            <w:r>
              <w:rPr>
                <w:sz w:val="19"/>
              </w:rPr>
              <w:t>121 to 150</w:t>
            </w:r>
          </w:p>
        </w:tc>
        <w:tc>
          <w:tcPr>
            <w:tcW w:type="dxa" w:w="2304"/>
            <w:tcMar>
              <w:top w:w="80" w:type="dxa"/>
              <w:bottom w:w="80" w:type="dxa"/>
              <w:left w:w="120" w:type="dxa"/>
              <w:right w:w="120" w:type="dxa"/>
            </w:tcMar>
          </w:tcPr>
          <w:p>
            <w:r/>
            <w:r>
              <w:rPr>
                <w:sz w:val="19"/>
              </w:rPr>
              <w:t>75%</w:t>
            </w:r>
          </w:p>
        </w:tc>
      </w:tr>
      <w:tr>
        <w:tc>
          <w:tcPr>
            <w:tcW w:type="dxa" w:w="2880"/>
            <w:tcMar>
              <w:top w:w="80" w:type="dxa"/>
              <w:bottom w:w="80" w:type="dxa"/>
              <w:left w:w="120" w:type="dxa"/>
              <w:right w:w="120" w:type="dxa"/>
            </w:tcMar>
          </w:tcPr>
          <w:p>
            <w:r/>
            <w:r>
              <w:rPr>
                <w:sz w:val="19"/>
              </w:rPr>
              <w:t>&gt;= 151</w:t>
            </w:r>
          </w:p>
        </w:tc>
        <w:tc>
          <w:tcPr>
            <w:tcW w:type="dxa" w:w="2304"/>
            <w:tcMar>
              <w:top w:w="80" w:type="dxa"/>
              <w:bottom w:w="80" w:type="dxa"/>
              <w:left w:w="120" w:type="dxa"/>
              <w:right w:w="120" w:type="dxa"/>
            </w:tcMar>
          </w:tcPr>
          <w:p>
            <w:r/>
            <w:r>
              <w:rPr>
                <w:sz w:val="19"/>
              </w:rPr>
              <w:t>100%</w:t>
            </w:r>
          </w:p>
        </w:tc>
      </w:tr>
    </w:tbl>
    <w:p/>
    <w:p>
      <w:pPr>
        <w:pStyle w:val="Heading2"/>
      </w:pPr>
      <w:r>
        <w:t>2.5 The Not Due breakdown - why "not due yet" money still has its own clock</w:t>
      </w:r>
    </w:p>
    <w:p>
      <w:pPr>
        <w:spacing w:after="120"/>
      </w:pPr>
      <w:r>
        <w:rPr>
          <w:b w:val="0"/>
          <w:i w:val="0"/>
        </w:rPr>
        <w:t>Money that isn't due yet will, eventually, become due - and once it does, it starts its own aging journey. So the workbook splits the Not Due total into five sub-buckets by how soon it becomes due: 0-30 days, 31-60 days, 61-90 days, 91-180 days, and 180+ days. These come straight from the matching "Not Due ..." columns Tool 1 already produces - no extra work for the credit manager.</w:t>
      </w:r>
    </w:p>
    <w:p>
      <w:pPr>
        <w:spacing w:after="120"/>
      </w:pPr>
      <w:r>
        <w:rPr>
          <w:b w:val="0"/>
          <w:i w:val="0"/>
        </w:rPr>
        <w:t>One genuinely surprising, verified behavior: at the very start of its life (the current quarter), the 0-30 / 31-60 / 61-90 Not Due sub-buckets carry a 0% rate - they are treated as fully safe, since they are not overdue at all yet. Only the 91-180 and 180+ sub-buckets carry the base 3% rate immediately. All five sub-buckets do eventually pick up risk as future quarters arrive and the model assumes they migrate forward like any other balance - except the 180+ sub-bucket, which is deliberately pinned to a flat 3% forever and never escalates further, on the assumption that very-far-future receivables are a different kind of risk that this model doesn't try to grade higher.</w:t>
      </w:r>
    </w:p>
    <w:p>
      <w:pPr>
        <w:pStyle w:val="Heading2"/>
      </w:pPr>
      <w:r>
        <w:t>2.6 The base columns - a snapshot as of right now, before any quarter forecasting</w:t>
      </w:r>
    </w:p>
    <w:p>
      <w:pPr>
        <w:spacing w:after="120"/>
      </w:pPr>
      <w:r>
        <w:rPr>
          <w:b w:val="0"/>
          <w:i w:val="0"/>
        </w:rPr>
        <w:t>Three formula columns sit before the quarterly blocks and give a flat, non-time-shifted reference snapshot (they never look forward to a quarter-end - just "if this happened today"):</w:t>
      </w:r>
    </w:p>
    <w:tbl>
      <w:tblPr>
        <w:tblStyle w:val="LightGrid-Accent1"/>
        <w:tblW w:type="auto" w:w="0"/>
        <w:jc w:val="center"/>
        <w:tblLook w:firstColumn="1" w:firstRow="1" w:lastColumn="0" w:lastRow="0" w:noHBand="0" w:noVBand="1" w:val="04A0"/>
      </w:tblPr>
      <w:tblGrid>
        <w:gridCol w:w="4873"/>
        <w:gridCol w:w="4873"/>
      </w:tblGrid>
      <w:tr>
        <w:tc>
          <w:tcPr>
            <w:tcW w:type="dxa" w:w="3456"/>
            <w:shd w:val="clear" w:color="auto" w:fill="1F3A5F"/>
            <w:tcMar>
              <w:top w:w="80" w:type="dxa"/>
              <w:bottom w:w="80" w:type="dxa"/>
              <w:left w:w="120" w:type="dxa"/>
              <w:right w:w="120" w:type="dxa"/>
            </w:tcMar>
          </w:tcPr>
          <w:p>
            <w:r/>
            <w:r>
              <w:rPr>
                <w:b/>
                <w:color w:val="FFFFFF"/>
              </w:rPr>
              <w:t>Column</w:t>
            </w:r>
          </w:p>
        </w:tc>
        <w:tc>
          <w:tcPr>
            <w:tcW w:type="dxa" w:w="5760"/>
            <w:shd w:val="clear" w:color="auto" w:fill="1F3A5F"/>
            <w:tcMar>
              <w:top w:w="80" w:type="dxa"/>
              <w:bottom w:w="80" w:type="dxa"/>
              <w:left w:w="120" w:type="dxa"/>
              <w:right w:w="120" w:type="dxa"/>
            </w:tcMar>
          </w:tcPr>
          <w:p>
            <w:r/>
            <w:r>
              <w:rPr>
                <w:b/>
                <w:color w:val="FFFFFF"/>
              </w:rPr>
              <w:t>Meaning</w:t>
            </w:r>
          </w:p>
        </w:tc>
      </w:tr>
      <w:tr>
        <w:tc>
          <w:tcPr>
            <w:tcW w:type="dxa" w:w="3456"/>
            <w:tcMar>
              <w:top w:w="80" w:type="dxa"/>
              <w:bottom w:w="80" w:type="dxa"/>
              <w:left w:w="120" w:type="dxa"/>
              <w:right w:w="120" w:type="dxa"/>
            </w:tcMar>
          </w:tcPr>
          <w:p>
            <w:r/>
            <w:r>
              <w:rPr>
                <w:sz w:val="19"/>
              </w:rPr>
              <w:t>Provision without any collection</w:t>
            </w:r>
          </w:p>
        </w:tc>
        <w:tc>
          <w:tcPr>
            <w:tcW w:type="dxa" w:w="5760"/>
            <w:tcMar>
              <w:top w:w="80" w:type="dxa"/>
              <w:bottom w:w="80" w:type="dxa"/>
              <w:left w:w="120" w:type="dxa"/>
              <w:right w:w="120" w:type="dxa"/>
            </w:tcMar>
          </w:tcPr>
          <w:p>
            <w:r/>
            <w:r>
              <w:rPr>
                <w:sz w:val="19"/>
              </w:rPr>
              <w:t>The provision if nothing further is ever collected - the flat rate table applied directly to today's buckets. This is the baseline everything else is measured against.</w:t>
            </w:r>
          </w:p>
        </w:tc>
      </w:tr>
      <w:tr>
        <w:tc>
          <w:tcPr>
            <w:tcW w:type="dxa" w:w="3456"/>
            <w:tcMar>
              <w:top w:w="80" w:type="dxa"/>
              <w:bottom w:w="80" w:type="dxa"/>
              <w:left w:w="120" w:type="dxa"/>
              <w:right w:w="120" w:type="dxa"/>
            </w:tcMar>
          </w:tcPr>
          <w:p>
            <w:r/>
            <w:r>
              <w:rPr>
                <w:sz w:val="19"/>
              </w:rPr>
              <w:t>Provision after collection</w:t>
            </w:r>
          </w:p>
        </w:tc>
        <w:tc>
          <w:tcPr>
            <w:tcW w:type="dxa" w:w="5760"/>
            <w:tcMar>
              <w:top w:w="80" w:type="dxa"/>
              <w:bottom w:w="80" w:type="dxa"/>
              <w:left w:w="120" w:type="dxa"/>
              <w:right w:w="120" w:type="dxa"/>
            </w:tcMar>
          </w:tcPr>
          <w:p>
            <w:r/>
            <w:r>
              <w:rPr>
                <w:sz w:val="19"/>
              </w:rPr>
              <w:t>Same, but first netting out whatever is in the CURRENT quarter's Collections FC (FIFO) cell only - not Specific Allocations, and not any other quarter's Collections FC cell (see the important warning in section 2.12).</w:t>
            </w:r>
          </w:p>
        </w:tc>
      </w:tr>
      <w:tr>
        <w:tc>
          <w:tcPr>
            <w:tcW w:type="dxa" w:w="3456"/>
            <w:tcMar>
              <w:top w:w="80" w:type="dxa"/>
              <w:bottom w:w="80" w:type="dxa"/>
              <w:left w:w="120" w:type="dxa"/>
              <w:right w:w="120" w:type="dxa"/>
            </w:tcMar>
          </w:tcPr>
          <w:p>
            <w:r/>
            <w:r>
              <w:rPr>
                <w:sz w:val="19"/>
              </w:rPr>
              <w:t>Provision after collection including Insurance/BG/LC</w:t>
            </w:r>
          </w:p>
        </w:tc>
        <w:tc>
          <w:tcPr>
            <w:tcW w:type="dxa" w:w="5760"/>
            <w:tcMar>
              <w:top w:w="80" w:type="dxa"/>
              <w:bottom w:w="80" w:type="dxa"/>
              <w:left w:w="120" w:type="dxa"/>
              <w:right w:w="120" w:type="dxa"/>
            </w:tcMar>
          </w:tcPr>
          <w:p>
            <w:r/>
            <w:r>
              <w:rPr>
                <w:sz w:val="19"/>
              </w:rPr>
              <w:t>Same again, but with the insurance discount from section 0.7 applied bucket-by-bucket, oldest first.</w:t>
            </w:r>
          </w:p>
        </w:tc>
      </w:tr>
    </w:tbl>
    <w:p/>
    <w:p>
      <w:pPr>
        <w:pStyle w:val="Heading2"/>
      </w:pPr>
      <w:r>
        <w:t>2.7 The quarterly blocks - what a credit manager actually fills in</w:t>
      </w:r>
    </w:p>
    <w:p>
      <w:pPr>
        <w:spacing w:after="120"/>
      </w:pPr>
      <w:r>
        <w:rPr>
          <w:b w:val="0"/>
          <w:i w:val="0"/>
        </w:rPr>
        <w:t>Each of the four quarters (Q1, Q2, Q3, Q4 2026) repeats the same set of columns:</w:t>
      </w:r>
    </w:p>
    <w:tbl>
      <w:tblPr>
        <w:tblStyle w:val="LightGrid-Accent1"/>
        <w:tblW w:type="auto" w:w="0"/>
        <w:jc w:val="center"/>
        <w:tblLook w:firstColumn="1" w:firstRow="1" w:lastColumn="0" w:lastRow="0" w:noHBand="0" w:noVBand="1" w:val="04A0"/>
      </w:tblPr>
      <w:tblGrid>
        <w:gridCol w:w="4873"/>
        <w:gridCol w:w="4873"/>
      </w:tblGrid>
      <w:tr>
        <w:tc>
          <w:tcPr>
            <w:tcW w:type="dxa" w:w="3024"/>
            <w:shd w:val="clear" w:color="auto" w:fill="1F3A5F"/>
            <w:tcMar>
              <w:top w:w="80" w:type="dxa"/>
              <w:bottom w:w="80" w:type="dxa"/>
              <w:left w:w="120" w:type="dxa"/>
              <w:right w:w="120" w:type="dxa"/>
            </w:tcMar>
          </w:tcPr>
          <w:p>
            <w:r/>
            <w:r>
              <w:rPr>
                <w:b/>
                <w:color w:val="FFFFFF"/>
              </w:rPr>
              <w:t>Column</w:t>
            </w:r>
          </w:p>
        </w:tc>
        <w:tc>
          <w:tcPr>
            <w:tcW w:type="dxa" w:w="6192"/>
            <w:shd w:val="clear" w:color="auto" w:fill="1F3A5F"/>
            <w:tcMar>
              <w:top w:w="80" w:type="dxa"/>
              <w:bottom w:w="80" w:type="dxa"/>
              <w:left w:w="120" w:type="dxa"/>
              <w:right w:w="120" w:type="dxa"/>
            </w:tcMar>
          </w:tcPr>
          <w:p>
            <w:r/>
            <w:r>
              <w:rPr>
                <w:b/>
                <w:color w:val="FFFFFF"/>
              </w:rPr>
              <w:t>Who fills it / what it shows</w:t>
            </w:r>
          </w:p>
        </w:tc>
      </w:tr>
      <w:tr>
        <w:tc>
          <w:tcPr>
            <w:tcW w:type="dxa" w:w="3024"/>
            <w:tcMar>
              <w:top w:w="80" w:type="dxa"/>
              <w:bottom w:w="80" w:type="dxa"/>
              <w:left w:w="120" w:type="dxa"/>
              <w:right w:w="120" w:type="dxa"/>
            </w:tcMar>
          </w:tcPr>
          <w:p>
            <w:r/>
            <w:r>
              <w:rPr>
                <w:sz w:val="19"/>
              </w:rPr>
              <w:t>Collections FC (FIFO)</w:t>
            </w:r>
          </w:p>
        </w:tc>
        <w:tc>
          <w:tcPr>
            <w:tcW w:type="dxa" w:w="6192"/>
            <w:tcMar>
              <w:top w:w="80" w:type="dxa"/>
              <w:bottom w:w="80" w:type="dxa"/>
              <w:left w:w="120" w:type="dxa"/>
              <w:right w:w="120" w:type="dxa"/>
            </w:tcMar>
          </w:tcPr>
          <w:p>
            <w:r/>
            <w:r>
              <w:rPr>
                <w:sz w:val="19"/>
              </w:rPr>
              <w:t>Manager types the amount they expect to collect this quarter; the model reduces the oldest bucket first (section 0.6)</w:t>
            </w:r>
          </w:p>
        </w:tc>
      </w:tr>
      <w:tr>
        <w:tc>
          <w:tcPr>
            <w:tcW w:type="dxa" w:w="3024"/>
            <w:tcMar>
              <w:top w:w="80" w:type="dxa"/>
              <w:bottom w:w="80" w:type="dxa"/>
              <w:left w:w="120" w:type="dxa"/>
              <w:right w:w="120" w:type="dxa"/>
            </w:tcMar>
          </w:tcPr>
          <w:p>
            <w:r/>
            <w:r>
              <w:rPr>
                <w:sz w:val="19"/>
              </w:rPr>
              <w:t>Specific Alloc x 7</w:t>
            </w:r>
          </w:p>
        </w:tc>
        <w:tc>
          <w:tcPr>
            <w:tcW w:type="dxa" w:w="6192"/>
            <w:tcMar>
              <w:top w:w="80" w:type="dxa"/>
              <w:bottom w:w="80" w:type="dxa"/>
              <w:left w:w="120" w:type="dxa"/>
              <w:right w:w="120" w:type="dxa"/>
            </w:tcMar>
          </w:tcPr>
          <w:p>
            <w:r/>
            <w:r>
              <w:rPr>
                <w:sz w:val="19"/>
              </w:rPr>
              <w:t>Alternative to the above - manager pins a payment to one exact bucket instead of letting FIFO decide (section 0.6). Use one or the other, never both.</w:t>
            </w:r>
          </w:p>
        </w:tc>
      </w:tr>
      <w:tr>
        <w:tc>
          <w:tcPr>
            <w:tcW w:type="dxa" w:w="3024"/>
            <w:tcMar>
              <w:top w:w="80" w:type="dxa"/>
              <w:bottom w:w="80" w:type="dxa"/>
              <w:left w:w="120" w:type="dxa"/>
              <w:right w:w="120" w:type="dxa"/>
            </w:tcMar>
          </w:tcPr>
          <w:p>
            <w:r/>
            <w:r>
              <w:rPr>
                <w:sz w:val="19"/>
              </w:rPr>
              <w:t>Expected AR</w:t>
            </w:r>
          </w:p>
        </w:tc>
        <w:tc>
          <w:tcPr>
            <w:tcW w:type="dxa" w:w="6192"/>
            <w:tcMar>
              <w:top w:w="80" w:type="dxa"/>
              <w:bottom w:w="80" w:type="dxa"/>
              <w:left w:w="120" w:type="dxa"/>
              <w:right w:w="120" w:type="dxa"/>
            </w:tcMar>
          </w:tcPr>
          <w:p>
            <w:r/>
            <w:r>
              <w:rPr>
                <w:sz w:val="19"/>
              </w:rPr>
              <w:t>Formula: the AR balance still outstanding after all FIFO collections and Specific Allocations, this quarter and every quarter before it, are subtracted - floored at zero, it never goes negative</w:t>
            </w:r>
          </w:p>
        </w:tc>
      </w:tr>
      <w:tr>
        <w:tc>
          <w:tcPr>
            <w:tcW w:type="dxa" w:w="3024"/>
            <w:tcMar>
              <w:top w:w="80" w:type="dxa"/>
              <w:bottom w:w="80" w:type="dxa"/>
              <w:left w:w="120" w:type="dxa"/>
              <w:right w:w="120" w:type="dxa"/>
            </w:tcMar>
          </w:tcPr>
          <w:p>
            <w:r/>
            <w:r>
              <w:rPr>
                <w:sz w:val="19"/>
              </w:rPr>
              <w:t>Provision Effect</w:t>
            </w:r>
          </w:p>
        </w:tc>
        <w:tc>
          <w:tcPr>
            <w:tcW w:type="dxa" w:w="6192"/>
            <w:tcMar>
              <w:top w:w="80" w:type="dxa"/>
              <w:bottom w:w="80" w:type="dxa"/>
              <w:left w:w="120" w:type="dxa"/>
              <w:right w:w="120" w:type="dxa"/>
            </w:tcMar>
          </w:tcPr>
          <w:p>
            <w:r/>
            <w:r>
              <w:rPr>
                <w:sz w:val="19"/>
              </w:rPr>
              <w:t>Formula: how much the provision forecast changes this quarter - the number that actually hits the P&amp;L</w:t>
            </w:r>
          </w:p>
        </w:tc>
      </w:tr>
      <w:tr>
        <w:tc>
          <w:tcPr>
            <w:tcW w:type="dxa" w:w="3024"/>
            <w:tcMar>
              <w:top w:w="80" w:type="dxa"/>
              <w:bottom w:w="80" w:type="dxa"/>
              <w:left w:w="120" w:type="dxa"/>
              <w:right w:w="120" w:type="dxa"/>
            </w:tcMar>
          </w:tcPr>
          <w:p>
            <w:r/>
            <w:r>
              <w:rPr>
                <w:sz w:val="19"/>
              </w:rPr>
              <w:t>AR Provision FC</w:t>
            </w:r>
          </w:p>
        </w:tc>
        <w:tc>
          <w:tcPr>
            <w:tcW w:type="dxa" w:w="6192"/>
            <w:tcMar>
              <w:top w:w="80" w:type="dxa"/>
              <w:bottom w:w="80" w:type="dxa"/>
              <w:left w:w="120" w:type="dxa"/>
              <w:right w:w="120" w:type="dxa"/>
            </w:tcMar>
          </w:tcPr>
          <w:p>
            <w:r/>
            <w:r>
              <w:rPr>
                <w:sz w:val="19"/>
              </w:rPr>
              <w:t>Formula: the full forecasted provision balance as of this quarter's end date, aging migration included</w:t>
            </w:r>
          </w:p>
        </w:tc>
      </w:tr>
      <w:tr>
        <w:tc>
          <w:tcPr>
            <w:tcW w:type="dxa" w:w="3024"/>
            <w:tcMar>
              <w:top w:w="80" w:type="dxa"/>
              <w:bottom w:w="80" w:type="dxa"/>
              <w:left w:w="120" w:type="dxa"/>
              <w:right w:w="120" w:type="dxa"/>
            </w:tcMar>
          </w:tcPr>
          <w:p>
            <w:r/>
            <w:r>
              <w:rPr>
                <w:sz w:val="19"/>
              </w:rPr>
              <w:t>Actual Collection</w:t>
            </w:r>
          </w:p>
        </w:tc>
        <w:tc>
          <w:tcPr>
            <w:tcW w:type="dxa" w:w="6192"/>
            <w:tcMar>
              <w:top w:w="80" w:type="dxa"/>
              <w:bottom w:w="80" w:type="dxa"/>
              <w:left w:w="120" w:type="dxa"/>
              <w:right w:w="120" w:type="dxa"/>
            </w:tcMar>
          </w:tcPr>
          <w:p>
            <w:r/>
            <w:r>
              <w:rPr>
                <w:sz w:val="19"/>
              </w:rPr>
              <w:t>Manager types the REAL collection once it's known (left blank until then - blank, not zero, is what keeps the next three columns blank too)</w:t>
            </w:r>
          </w:p>
        </w:tc>
      </w:tr>
      <w:tr>
        <w:tc>
          <w:tcPr>
            <w:tcW w:type="dxa" w:w="3024"/>
            <w:tcMar>
              <w:top w:w="80" w:type="dxa"/>
              <w:bottom w:w="80" w:type="dxa"/>
              <w:left w:w="120" w:type="dxa"/>
              <w:right w:w="120" w:type="dxa"/>
            </w:tcMar>
          </w:tcPr>
          <w:p>
            <w:r/>
            <w:r>
              <w:rPr>
                <w:sz w:val="19"/>
              </w:rPr>
              <w:t>Expected AR - Actual / Actual AR Provision / Variance Actual vs Forecast</w:t>
            </w:r>
          </w:p>
        </w:tc>
        <w:tc>
          <w:tcPr>
            <w:tcW w:type="dxa" w:w="6192"/>
            <w:tcMar>
              <w:top w:w="80" w:type="dxa"/>
              <w:bottom w:w="80" w:type="dxa"/>
              <w:left w:w="120" w:type="dxa"/>
              <w:right w:w="120" w:type="dxa"/>
            </w:tcMar>
          </w:tcPr>
          <w:p>
            <w:r/>
            <w:r>
              <w:rPr>
                <w:sz w:val="19"/>
              </w:rPr>
              <w:t>Formulas that only switch on once Actual Collection has a typed value - showing how reality compared to the forecast</w:t>
            </w:r>
          </w:p>
        </w:tc>
      </w:tr>
    </w:tbl>
    <w:p/>
    <w:p>
      <w:r>
        <w:br w:type="page"/>
      </w:r>
    </w:p>
    <w:p>
      <w:pPr>
        <w:pStyle w:val="Heading2"/>
      </w:pPr>
      <w:r>
        <w:t>2.8 Worked example: FIFO collection in action</w:t>
      </w:r>
    </w:p>
    <w:p>
      <w:pPr>
        <w:spacing w:after="120"/>
      </w:pPr>
      <w:r>
        <w:rPr>
          <w:b w:val="0"/>
          <w:i w:val="0"/>
        </w:rPr>
        <w:t>A customer (Main Ac 12301, no insurance, no on-account credit) has an even $10,000 sitting in every one of the six overdue buckets - $60,000 total AR balance:</w:t>
      </w:r>
    </w:p>
    <w:tbl>
      <w:tblPr>
        <w:tblStyle w:val="LightGrid-Accent1"/>
        <w:tblW w:type="auto" w:w="0"/>
        <w:jc w:val="center"/>
        <w:tblLook w:firstColumn="1" w:firstRow="1" w:lastColumn="0" w:lastRow="0" w:noHBand="0" w:noVBand="1" w:val="04A0"/>
      </w:tblPr>
      <w:tblGrid>
        <w:gridCol w:w="4873"/>
        <w:gridCol w:w="4873"/>
      </w:tblGrid>
      <w:tr>
        <w:tc>
          <w:tcPr>
            <w:tcW w:type="dxa" w:w="2880"/>
            <w:shd w:val="clear" w:color="auto" w:fill="1F3A5F"/>
            <w:tcMar>
              <w:top w:w="80" w:type="dxa"/>
              <w:bottom w:w="80" w:type="dxa"/>
              <w:left w:w="120" w:type="dxa"/>
              <w:right w:w="120" w:type="dxa"/>
            </w:tcMar>
          </w:tcPr>
          <w:p>
            <w:r/>
            <w:r>
              <w:rPr>
                <w:b/>
                <w:color w:val="FFFFFF"/>
              </w:rPr>
              <w:t>Bucket</w:t>
            </w:r>
          </w:p>
        </w:tc>
        <w:tc>
          <w:tcPr>
            <w:tcW w:type="dxa" w:w="2304"/>
            <w:shd w:val="clear" w:color="auto" w:fill="1F3A5F"/>
            <w:tcMar>
              <w:top w:w="80" w:type="dxa"/>
              <w:bottom w:w="80" w:type="dxa"/>
              <w:left w:w="120" w:type="dxa"/>
              <w:right w:w="120" w:type="dxa"/>
            </w:tcMar>
          </w:tcPr>
          <w:p>
            <w:r/>
            <w:r>
              <w:rPr>
                <w:b/>
                <w:color w:val="FFFFFF"/>
              </w:rPr>
              <w:t>Balance</w:t>
            </w:r>
          </w:p>
        </w:tc>
      </w:tr>
      <w:tr>
        <w:tc>
          <w:tcPr>
            <w:tcW w:type="dxa" w:w="2880"/>
            <w:tcMar>
              <w:top w:w="80" w:type="dxa"/>
              <w:bottom w:w="80" w:type="dxa"/>
              <w:left w:w="120" w:type="dxa"/>
              <w:right w:w="120" w:type="dxa"/>
            </w:tcMar>
          </w:tcPr>
          <w:p>
            <w:r/>
            <w:r>
              <w:rPr>
                <w:sz w:val="19"/>
              </w:rPr>
              <w:t>1 to 30</w:t>
            </w:r>
          </w:p>
        </w:tc>
        <w:tc>
          <w:tcPr>
            <w:tcW w:type="dxa" w:w="2304"/>
            <w:tcMar>
              <w:top w:w="80" w:type="dxa"/>
              <w:bottom w:w="80" w:type="dxa"/>
              <w:left w:w="120" w:type="dxa"/>
              <w:right w:w="120" w:type="dxa"/>
            </w:tcMar>
          </w:tcPr>
          <w:p>
            <w:r/>
            <w:r>
              <w:rPr>
                <w:sz w:val="19"/>
              </w:rPr>
              <w:t>10,000</w:t>
            </w:r>
          </w:p>
        </w:tc>
      </w:tr>
      <w:tr>
        <w:tc>
          <w:tcPr>
            <w:tcW w:type="dxa" w:w="2880"/>
            <w:tcMar>
              <w:top w:w="80" w:type="dxa"/>
              <w:bottom w:w="80" w:type="dxa"/>
              <w:left w:w="120" w:type="dxa"/>
              <w:right w:w="120" w:type="dxa"/>
            </w:tcMar>
          </w:tcPr>
          <w:p>
            <w:r/>
            <w:r>
              <w:rPr>
                <w:sz w:val="19"/>
              </w:rPr>
              <w:t>31 to 60</w:t>
            </w:r>
          </w:p>
        </w:tc>
        <w:tc>
          <w:tcPr>
            <w:tcW w:type="dxa" w:w="2304"/>
            <w:tcMar>
              <w:top w:w="80" w:type="dxa"/>
              <w:bottom w:w="80" w:type="dxa"/>
              <w:left w:w="120" w:type="dxa"/>
              <w:right w:w="120" w:type="dxa"/>
            </w:tcMar>
          </w:tcPr>
          <w:p>
            <w:r/>
            <w:r>
              <w:rPr>
                <w:sz w:val="19"/>
              </w:rPr>
              <w:t>10,000</w:t>
            </w:r>
          </w:p>
        </w:tc>
      </w:tr>
      <w:tr>
        <w:tc>
          <w:tcPr>
            <w:tcW w:type="dxa" w:w="2880"/>
            <w:tcMar>
              <w:top w:w="80" w:type="dxa"/>
              <w:bottom w:w="80" w:type="dxa"/>
              <w:left w:w="120" w:type="dxa"/>
              <w:right w:w="120" w:type="dxa"/>
            </w:tcMar>
          </w:tcPr>
          <w:p>
            <w:r/>
            <w:r>
              <w:rPr>
                <w:sz w:val="19"/>
              </w:rPr>
              <w:t>61 to 90</w:t>
            </w:r>
          </w:p>
        </w:tc>
        <w:tc>
          <w:tcPr>
            <w:tcW w:type="dxa" w:w="2304"/>
            <w:tcMar>
              <w:top w:w="80" w:type="dxa"/>
              <w:bottom w:w="80" w:type="dxa"/>
              <w:left w:w="120" w:type="dxa"/>
              <w:right w:w="120" w:type="dxa"/>
            </w:tcMar>
          </w:tcPr>
          <w:p>
            <w:r/>
            <w:r>
              <w:rPr>
                <w:sz w:val="19"/>
              </w:rPr>
              <w:t>10,000</w:t>
            </w:r>
          </w:p>
        </w:tc>
      </w:tr>
      <w:tr>
        <w:tc>
          <w:tcPr>
            <w:tcW w:type="dxa" w:w="2880"/>
            <w:tcMar>
              <w:top w:w="80" w:type="dxa"/>
              <w:bottom w:w="80" w:type="dxa"/>
              <w:left w:w="120" w:type="dxa"/>
              <w:right w:w="120" w:type="dxa"/>
            </w:tcMar>
          </w:tcPr>
          <w:p>
            <w:r/>
            <w:r>
              <w:rPr>
                <w:sz w:val="19"/>
              </w:rPr>
              <w:t>91 to 120</w:t>
            </w:r>
          </w:p>
        </w:tc>
        <w:tc>
          <w:tcPr>
            <w:tcW w:type="dxa" w:w="2304"/>
            <w:tcMar>
              <w:top w:w="80" w:type="dxa"/>
              <w:bottom w:w="80" w:type="dxa"/>
              <w:left w:w="120" w:type="dxa"/>
              <w:right w:w="120" w:type="dxa"/>
            </w:tcMar>
          </w:tcPr>
          <w:p>
            <w:r/>
            <w:r>
              <w:rPr>
                <w:sz w:val="19"/>
              </w:rPr>
              <w:t>10,000</w:t>
            </w:r>
          </w:p>
        </w:tc>
      </w:tr>
      <w:tr>
        <w:tc>
          <w:tcPr>
            <w:tcW w:type="dxa" w:w="2880"/>
            <w:tcMar>
              <w:top w:w="80" w:type="dxa"/>
              <w:bottom w:w="80" w:type="dxa"/>
              <w:left w:w="120" w:type="dxa"/>
              <w:right w:w="120" w:type="dxa"/>
            </w:tcMar>
          </w:tcPr>
          <w:p>
            <w:r/>
            <w:r>
              <w:rPr>
                <w:sz w:val="19"/>
              </w:rPr>
              <w:t>121 to 150</w:t>
            </w:r>
          </w:p>
        </w:tc>
        <w:tc>
          <w:tcPr>
            <w:tcW w:type="dxa" w:w="2304"/>
            <w:tcMar>
              <w:top w:w="80" w:type="dxa"/>
              <w:bottom w:w="80" w:type="dxa"/>
              <w:left w:w="120" w:type="dxa"/>
              <w:right w:w="120" w:type="dxa"/>
            </w:tcMar>
          </w:tcPr>
          <w:p>
            <w:r/>
            <w:r>
              <w:rPr>
                <w:sz w:val="19"/>
              </w:rPr>
              <w:t>10,000</w:t>
            </w:r>
          </w:p>
        </w:tc>
      </w:tr>
      <w:tr>
        <w:tc>
          <w:tcPr>
            <w:tcW w:type="dxa" w:w="2880"/>
            <w:tcMar>
              <w:top w:w="80" w:type="dxa"/>
              <w:bottom w:w="80" w:type="dxa"/>
              <w:left w:w="120" w:type="dxa"/>
              <w:right w:w="120" w:type="dxa"/>
            </w:tcMar>
          </w:tcPr>
          <w:p>
            <w:r/>
            <w:r>
              <w:rPr>
                <w:sz w:val="19"/>
              </w:rPr>
              <w:t>&gt;= 151</w:t>
            </w:r>
          </w:p>
        </w:tc>
        <w:tc>
          <w:tcPr>
            <w:tcW w:type="dxa" w:w="2304"/>
            <w:tcMar>
              <w:top w:w="80" w:type="dxa"/>
              <w:bottom w:w="80" w:type="dxa"/>
              <w:left w:w="120" w:type="dxa"/>
              <w:right w:w="120" w:type="dxa"/>
            </w:tcMar>
          </w:tcPr>
          <w:p>
            <w:r/>
            <w:r>
              <w:rPr>
                <w:sz w:val="19"/>
              </w:rPr>
              <w:t>10,000</w:t>
            </w:r>
          </w:p>
        </w:tc>
      </w:tr>
    </w:tbl>
    <w:p/>
    <w:p>
      <w:pPr>
        <w:spacing w:after="120"/>
      </w:pPr>
      <w:r>
        <w:rPr>
          <w:b w:val="0"/>
          <w:i w:val="0"/>
        </w:rPr>
        <w:t>With nothing collected, the flat baseline provision ("Provision without any collection") is $25,600 - every bucket at its own rate, added up. Now the manager forecasts collecting $25,000 this quarter via Collections FC (FIFO):</w:t>
      </w:r>
    </w:p>
    <w:tbl>
      <w:tblPr>
        <w:tblStyle w:val="LightGrid-Accent1"/>
        <w:tblW w:type="auto" w:w="0"/>
        <w:jc w:val="center"/>
        <w:tblLook w:firstColumn="1" w:firstRow="1" w:lastColumn="0" w:lastRow="0" w:noHBand="0" w:noVBand="1" w:val="04A0"/>
      </w:tblPr>
      <w:tblGrid>
        <w:gridCol w:w="3249"/>
        <w:gridCol w:w="3249"/>
        <w:gridCol w:w="3249"/>
      </w:tblGrid>
      <w:tr>
        <w:tc>
          <w:tcPr>
            <w:tcW w:type="dxa" w:w="3312"/>
            <w:shd w:val="clear" w:color="auto" w:fill="1F3A5F"/>
            <w:tcMar>
              <w:top w:w="80" w:type="dxa"/>
              <w:bottom w:w="80" w:type="dxa"/>
              <w:left w:w="120" w:type="dxa"/>
              <w:right w:w="120" w:type="dxa"/>
            </w:tcMar>
          </w:tcPr>
          <w:p>
            <w:r/>
            <w:r>
              <w:rPr>
                <w:b/>
                <w:color w:val="FFFFFF"/>
              </w:rPr>
              <w:t>Column</w:t>
            </w:r>
          </w:p>
        </w:tc>
        <w:tc>
          <w:tcPr>
            <w:tcW w:type="dxa" w:w="1440"/>
            <w:shd w:val="clear" w:color="auto" w:fill="1F3A5F"/>
            <w:tcMar>
              <w:top w:w="80" w:type="dxa"/>
              <w:bottom w:w="80" w:type="dxa"/>
              <w:left w:w="120" w:type="dxa"/>
              <w:right w:w="120" w:type="dxa"/>
            </w:tcMar>
          </w:tcPr>
          <w:p>
            <w:r/>
            <w:r>
              <w:rPr>
                <w:b/>
                <w:color w:val="FFFFFF"/>
              </w:rPr>
              <w:t>Value</w:t>
            </w:r>
          </w:p>
        </w:tc>
        <w:tc>
          <w:tcPr>
            <w:tcW w:type="dxa" w:w="4464"/>
            <w:shd w:val="clear" w:color="auto" w:fill="1F3A5F"/>
            <w:tcMar>
              <w:top w:w="80" w:type="dxa"/>
              <w:bottom w:w="80" w:type="dxa"/>
              <w:left w:w="120" w:type="dxa"/>
              <w:right w:w="120" w:type="dxa"/>
            </w:tcMar>
          </w:tcPr>
          <w:p>
            <w:r/>
            <w:r>
              <w:rPr>
                <w:b/>
                <w:color w:val="FFFFFF"/>
              </w:rPr>
              <w:t>What happened</w:t>
            </w:r>
          </w:p>
        </w:tc>
      </w:tr>
      <w:tr>
        <w:tc>
          <w:tcPr>
            <w:tcW w:type="dxa" w:w="3312"/>
            <w:tcMar>
              <w:top w:w="80" w:type="dxa"/>
              <w:bottom w:w="80" w:type="dxa"/>
              <w:left w:w="120" w:type="dxa"/>
              <w:right w:w="120" w:type="dxa"/>
            </w:tcMar>
          </w:tcPr>
          <w:p>
            <w:r/>
            <w:r>
              <w:rPr>
                <w:sz w:val="19"/>
              </w:rPr>
              <w:t>Provision without any collection</w:t>
            </w:r>
          </w:p>
        </w:tc>
        <w:tc>
          <w:tcPr>
            <w:tcW w:type="dxa" w:w="1440"/>
            <w:tcMar>
              <w:top w:w="80" w:type="dxa"/>
              <w:bottom w:w="80" w:type="dxa"/>
              <w:left w:w="120" w:type="dxa"/>
              <w:right w:w="120" w:type="dxa"/>
            </w:tcMar>
          </w:tcPr>
          <w:p>
            <w:r/>
            <w:r>
              <w:rPr>
                <w:sz w:val="19"/>
              </w:rPr>
              <w:t>25,600</w:t>
            </w:r>
          </w:p>
        </w:tc>
        <w:tc>
          <w:tcPr>
            <w:tcW w:type="dxa" w:w="4464"/>
            <w:tcMar>
              <w:top w:w="80" w:type="dxa"/>
              <w:bottom w:w="80" w:type="dxa"/>
              <w:left w:w="120" w:type="dxa"/>
              <w:right w:w="120" w:type="dxa"/>
            </w:tcMar>
          </w:tcPr>
          <w:p>
            <w:r/>
            <w:r>
              <w:rPr>
                <w:sz w:val="19"/>
              </w:rPr>
              <w:t>The unchanged baseline</w:t>
            </w:r>
          </w:p>
        </w:tc>
      </w:tr>
      <w:tr>
        <w:tc>
          <w:tcPr>
            <w:tcW w:type="dxa" w:w="3312"/>
            <w:tcMar>
              <w:top w:w="80" w:type="dxa"/>
              <w:bottom w:w="80" w:type="dxa"/>
              <w:left w:w="120" w:type="dxa"/>
              <w:right w:w="120" w:type="dxa"/>
            </w:tcMar>
          </w:tcPr>
          <w:p>
            <w:r/>
            <w:r>
              <w:rPr>
                <w:sz w:val="19"/>
              </w:rPr>
              <w:t>Provision after collection</w:t>
            </w:r>
          </w:p>
        </w:tc>
        <w:tc>
          <w:tcPr>
            <w:tcW w:type="dxa" w:w="1440"/>
            <w:tcMar>
              <w:top w:w="80" w:type="dxa"/>
              <w:bottom w:w="80" w:type="dxa"/>
              <w:left w:w="120" w:type="dxa"/>
              <w:right w:w="120" w:type="dxa"/>
            </w:tcMar>
          </w:tcPr>
          <w:p>
            <w:r/>
            <w:r>
              <w:rPr>
                <w:sz w:val="19"/>
              </w:rPr>
              <w:t>5,600</w:t>
            </w:r>
          </w:p>
        </w:tc>
        <w:tc>
          <w:tcPr>
            <w:tcW w:type="dxa" w:w="4464"/>
            <w:tcMar>
              <w:top w:w="80" w:type="dxa"/>
              <w:bottom w:w="80" w:type="dxa"/>
              <w:left w:w="120" w:type="dxa"/>
              <w:right w:w="120" w:type="dxa"/>
            </w:tcMar>
          </w:tcPr>
          <w:p>
            <w:r/>
            <w:r>
              <w:rPr>
                <w:sz w:val="19"/>
              </w:rPr>
              <w:t>FIFO ate the full &gt;=151 bucket (10,000) and the full 121-150 bucket (10,000), then 5,000 of the 91-120 bucket - the remaining 5,000 in 91-120 plus the untouched 61-90/31-60/1-30 buckets are what's left</w:t>
            </w:r>
          </w:p>
        </w:tc>
      </w:tr>
      <w:tr>
        <w:tc>
          <w:tcPr>
            <w:tcW w:type="dxa" w:w="3312"/>
            <w:tcMar>
              <w:top w:w="80" w:type="dxa"/>
              <w:bottom w:w="80" w:type="dxa"/>
              <w:left w:w="120" w:type="dxa"/>
              <w:right w:w="120" w:type="dxa"/>
            </w:tcMar>
          </w:tcPr>
          <w:p>
            <w:r/>
            <w:r>
              <w:rPr>
                <w:sz w:val="19"/>
              </w:rPr>
              <w:t>Expected AR (this quarter)</w:t>
            </w:r>
          </w:p>
        </w:tc>
        <w:tc>
          <w:tcPr>
            <w:tcW w:type="dxa" w:w="1440"/>
            <w:tcMar>
              <w:top w:w="80" w:type="dxa"/>
              <w:bottom w:w="80" w:type="dxa"/>
              <w:left w:w="120" w:type="dxa"/>
              <w:right w:w="120" w:type="dxa"/>
            </w:tcMar>
          </w:tcPr>
          <w:p>
            <w:r/>
            <w:r>
              <w:rPr>
                <w:sz w:val="19"/>
              </w:rPr>
              <w:t>35,000</w:t>
            </w:r>
          </w:p>
        </w:tc>
        <w:tc>
          <w:tcPr>
            <w:tcW w:type="dxa" w:w="4464"/>
            <w:tcMar>
              <w:top w:w="80" w:type="dxa"/>
              <w:bottom w:w="80" w:type="dxa"/>
              <w:left w:w="120" w:type="dxa"/>
              <w:right w:w="120" w:type="dxa"/>
            </w:tcMar>
          </w:tcPr>
          <w:p>
            <w:r/>
            <w:r>
              <w:rPr>
                <w:sz w:val="19"/>
              </w:rPr>
              <w:t>60,000 balance minus the 25,000 collected</w:t>
            </w:r>
          </w:p>
        </w:tc>
      </w:tr>
      <w:tr>
        <w:tc>
          <w:tcPr>
            <w:tcW w:type="dxa" w:w="3312"/>
            <w:tcMar>
              <w:top w:w="80" w:type="dxa"/>
              <w:bottom w:w="80" w:type="dxa"/>
              <w:left w:w="120" w:type="dxa"/>
              <w:right w:w="120" w:type="dxa"/>
            </w:tcMar>
          </w:tcPr>
          <w:p>
            <w:r/>
            <w:r>
              <w:rPr>
                <w:sz w:val="19"/>
              </w:rPr>
              <w:t>AR Provision FC (this quarter, quarter-end forecast)</w:t>
            </w:r>
          </w:p>
        </w:tc>
        <w:tc>
          <w:tcPr>
            <w:tcW w:type="dxa" w:w="1440"/>
            <w:tcMar>
              <w:top w:w="80" w:type="dxa"/>
              <w:bottom w:w="80" w:type="dxa"/>
              <w:left w:w="120" w:type="dxa"/>
              <w:right w:w="120" w:type="dxa"/>
            </w:tcMar>
          </w:tcPr>
          <w:p>
            <w:r/>
            <w:r>
              <w:rPr>
                <w:sz w:val="19"/>
              </w:rPr>
              <w:t>27,500</w:t>
            </w:r>
          </w:p>
        </w:tc>
        <w:tc>
          <w:tcPr>
            <w:tcW w:type="dxa" w:w="4464"/>
            <w:tcMar>
              <w:top w:w="80" w:type="dxa"/>
              <w:bottom w:w="80" w:type="dxa"/>
              <w:left w:w="120" w:type="dxa"/>
              <w:right w:w="120" w:type="dxa"/>
            </w:tcMar>
          </w:tcPr>
          <w:p>
            <w:r/>
            <w:r>
              <w:rPr>
                <w:sz w:val="19"/>
              </w:rPr>
              <w:t>Higher than the 5,600 above because this column also lets the untouched buckets age forward to quarter-end - see section 2.9 for why</w:t>
            </w:r>
          </w:p>
        </w:tc>
      </w:tr>
    </w:tbl>
    <w:p/>
    <w:tbl>
      <w:tblPr>
        <w:tblW w:type="auto" w:w="0"/>
        <w:jc w:val="center"/>
        <w:tblLook w:firstColumn="1" w:firstRow="1" w:lastColumn="0" w:lastRow="0" w:noHBand="0" w:noVBand="1" w:val="04A0"/>
      </w:tblPr>
      <w:tblGrid>
        <w:gridCol w:w="9746"/>
      </w:tblGrid>
      <w:tr>
        <w:tc>
          <w:tcPr>
            <w:tcW w:type="dxa" w:w="9746"/>
            <w:shd w:val="clear" w:color="auto" w:fill="D9E8F5"/>
            <w:tcMar>
              <w:top w:w="140" w:type="dxa"/>
              <w:bottom w:w="140" w:type="dxa"/>
              <w:left w:w="200" w:type="dxa"/>
              <w:right w:w="200" w:type="dxa"/>
            </w:tcMar>
          </w:tcPr>
          <w:p>
            <w:r>
              <w:rPr>
                <w:b/>
              </w:rPr>
              <w:t xml:space="preserve">The key contrast:  </w:t>
            </w:r>
            <w:r>
              <w:t>"Provision after collection" (5,600) answers "what would the remaining balance be worth if judged today, right after the collection." "AR Provision FC" (27,500) answers "what will the remaining balance be worth by the time this quarter actually ends," which is higher because it also prices in the aging that happens between now and quarter-end. Both numbers are correct; they answer different questions.</w:t>
            </w:r>
          </w:p>
        </w:tc>
      </w:tr>
    </w:tbl>
    <w:p/>
    <w:p>
      <w:pPr>
        <w:pStyle w:val="Heading2"/>
      </w:pPr>
      <w:r>
        <w:t>2.9 Worked example: provision grows from aging alone (nothing collected)</w:t>
      </w:r>
    </w:p>
    <w:p>
      <w:pPr>
        <w:spacing w:after="120"/>
      </w:pPr>
      <w:r>
        <w:rPr>
          <w:b w:val="0"/>
          <w:i w:val="0"/>
        </w:rPr>
        <w:t>Take a single, isolated $10,000 balance sitting in the 1-30 bucket - nothing else, no collection ever entered. Watch what the model forecasts for the SAME uncollected $10,000 across all four quarters of one workbook:</w:t>
      </w:r>
    </w:p>
    <w:tbl>
      <w:tblPr>
        <w:tblStyle w:val="LightGrid-Accent1"/>
        <w:tblW w:type="auto" w:w="0"/>
        <w:jc w:val="center"/>
        <w:tblLook w:firstColumn="1" w:firstRow="1" w:lastColumn="0" w:lastRow="0" w:noHBand="0" w:noVBand="1" w:val="04A0"/>
      </w:tblPr>
      <w:tblGrid>
        <w:gridCol w:w="3249"/>
        <w:gridCol w:w="3249"/>
        <w:gridCol w:w="3249"/>
      </w:tblGrid>
      <w:tr>
        <w:tc>
          <w:tcPr>
            <w:tcW w:type="dxa" w:w="3744"/>
            <w:shd w:val="clear" w:color="auto" w:fill="1F3A5F"/>
            <w:tcMar>
              <w:top w:w="80" w:type="dxa"/>
              <w:bottom w:w="80" w:type="dxa"/>
              <w:left w:w="120" w:type="dxa"/>
              <w:right w:w="120" w:type="dxa"/>
            </w:tcMar>
          </w:tcPr>
          <w:p>
            <w:r/>
            <w:r>
              <w:rPr>
                <w:b/>
                <w:color w:val="FFFFFF"/>
              </w:rPr>
              <w:t>Quarter</w:t>
            </w:r>
          </w:p>
        </w:tc>
        <w:tc>
          <w:tcPr>
            <w:tcW w:type="dxa" w:w="3168"/>
            <w:shd w:val="clear" w:color="auto" w:fill="1F3A5F"/>
            <w:tcMar>
              <w:top w:w="80" w:type="dxa"/>
              <w:bottom w:w="80" w:type="dxa"/>
              <w:left w:w="120" w:type="dxa"/>
              <w:right w:w="120" w:type="dxa"/>
            </w:tcMar>
          </w:tcPr>
          <w:p>
            <w:r/>
            <w:r>
              <w:rPr>
                <w:b/>
                <w:color w:val="FFFFFF"/>
              </w:rPr>
              <w:t>AR Provision FC (quarter-end forecast)</w:t>
            </w:r>
          </w:p>
        </w:tc>
        <w:tc>
          <w:tcPr>
            <w:tcW w:type="dxa" w:w="2880"/>
            <w:shd w:val="clear" w:color="auto" w:fill="1F3A5F"/>
            <w:tcMar>
              <w:top w:w="80" w:type="dxa"/>
              <w:bottom w:w="80" w:type="dxa"/>
              <w:left w:w="120" w:type="dxa"/>
              <w:right w:w="120" w:type="dxa"/>
            </w:tcMar>
          </w:tcPr>
          <w:p>
            <w:r/>
            <w:r>
              <w:rPr>
                <w:b/>
                <w:color w:val="FFFFFF"/>
              </w:rPr>
              <w:t>Provision Effect (P&amp;L impact this quarter)</w:t>
            </w:r>
          </w:p>
        </w:tc>
      </w:tr>
      <w:tr>
        <w:tc>
          <w:tcPr>
            <w:tcW w:type="dxa" w:w="3744"/>
            <w:tcMar>
              <w:top w:w="80" w:type="dxa"/>
              <w:bottom w:w="80" w:type="dxa"/>
              <w:left w:w="120" w:type="dxa"/>
              <w:right w:w="120" w:type="dxa"/>
            </w:tcMar>
          </w:tcPr>
          <w:p>
            <w:r/>
            <w:r>
              <w:rPr>
                <w:sz w:val="19"/>
              </w:rPr>
              <w:t>Today (baseline, no time-shift)</w:t>
            </w:r>
          </w:p>
        </w:tc>
        <w:tc>
          <w:tcPr>
            <w:tcW w:type="dxa" w:w="3168"/>
            <w:tcMar>
              <w:top w:w="80" w:type="dxa"/>
              <w:bottom w:w="80" w:type="dxa"/>
              <w:left w:w="120" w:type="dxa"/>
              <w:right w:w="120" w:type="dxa"/>
            </w:tcMar>
          </w:tcPr>
          <w:p>
            <w:r/>
            <w:r>
              <w:rPr>
                <w:sz w:val="19"/>
              </w:rPr>
              <w:t>300</w:t>
            </w:r>
          </w:p>
        </w:tc>
        <w:tc>
          <w:tcPr>
            <w:tcW w:type="dxa" w:w="2880"/>
            <w:tcMar>
              <w:top w:w="80" w:type="dxa"/>
              <w:bottom w:w="80" w:type="dxa"/>
              <w:left w:w="120" w:type="dxa"/>
              <w:right w:w="120" w:type="dxa"/>
            </w:tcMar>
          </w:tcPr>
          <w:p>
            <w:r/>
            <w:r>
              <w:rPr>
                <w:sz w:val="19"/>
              </w:rPr>
              <w:t>-</w:t>
            </w:r>
          </w:p>
        </w:tc>
      </w:tr>
      <w:tr>
        <w:tc>
          <w:tcPr>
            <w:tcW w:type="dxa" w:w="3744"/>
            <w:tcMar>
              <w:top w:w="80" w:type="dxa"/>
              <w:bottom w:w="80" w:type="dxa"/>
              <w:left w:w="120" w:type="dxa"/>
              <w:right w:w="120" w:type="dxa"/>
            </w:tcMar>
          </w:tcPr>
          <w:p>
            <w:r/>
            <w:r>
              <w:rPr>
                <w:sz w:val="19"/>
              </w:rPr>
              <w:t>Q1 (this quarter)</w:t>
            </w:r>
          </w:p>
        </w:tc>
        <w:tc>
          <w:tcPr>
            <w:tcW w:type="dxa" w:w="3168"/>
            <w:tcMar>
              <w:top w:w="80" w:type="dxa"/>
              <w:bottom w:w="80" w:type="dxa"/>
              <w:left w:w="120" w:type="dxa"/>
              <w:right w:w="120" w:type="dxa"/>
            </w:tcMar>
          </w:tcPr>
          <w:p>
            <w:r/>
            <w:r>
              <w:rPr>
                <w:sz w:val="19"/>
              </w:rPr>
              <w:t>5,000</w:t>
            </w:r>
          </w:p>
        </w:tc>
        <w:tc>
          <w:tcPr>
            <w:tcW w:type="dxa" w:w="2880"/>
            <w:tcMar>
              <w:top w:w="80" w:type="dxa"/>
              <w:bottom w:w="80" w:type="dxa"/>
              <w:left w:w="120" w:type="dxa"/>
              <w:right w:w="120" w:type="dxa"/>
            </w:tcMar>
          </w:tcPr>
          <w:p>
            <w:r/>
            <w:r>
              <w:rPr>
                <w:sz w:val="19"/>
              </w:rPr>
              <w:t>4,700</w:t>
            </w:r>
          </w:p>
        </w:tc>
      </w:tr>
      <w:tr>
        <w:tc>
          <w:tcPr>
            <w:tcW w:type="dxa" w:w="3744"/>
            <w:tcMar>
              <w:top w:w="80" w:type="dxa"/>
              <w:bottom w:w="80" w:type="dxa"/>
              <w:left w:w="120" w:type="dxa"/>
              <w:right w:w="120" w:type="dxa"/>
            </w:tcMar>
          </w:tcPr>
          <w:p>
            <w:r/>
            <w:r>
              <w:rPr>
                <w:sz w:val="19"/>
              </w:rPr>
              <w:t>Q2</w:t>
            </w:r>
          </w:p>
        </w:tc>
        <w:tc>
          <w:tcPr>
            <w:tcW w:type="dxa" w:w="3168"/>
            <w:tcMar>
              <w:top w:w="80" w:type="dxa"/>
              <w:bottom w:w="80" w:type="dxa"/>
              <w:left w:w="120" w:type="dxa"/>
              <w:right w:w="120" w:type="dxa"/>
            </w:tcMar>
          </w:tcPr>
          <w:p>
            <w:r/>
            <w:r>
              <w:rPr>
                <w:sz w:val="19"/>
              </w:rPr>
              <w:t>10,000</w:t>
            </w:r>
          </w:p>
        </w:tc>
        <w:tc>
          <w:tcPr>
            <w:tcW w:type="dxa" w:w="2880"/>
            <w:tcMar>
              <w:top w:w="80" w:type="dxa"/>
              <w:bottom w:w="80" w:type="dxa"/>
              <w:left w:w="120" w:type="dxa"/>
              <w:right w:w="120" w:type="dxa"/>
            </w:tcMar>
          </w:tcPr>
          <w:p>
            <w:r/>
            <w:r>
              <w:rPr>
                <w:sz w:val="19"/>
              </w:rPr>
              <w:t>5,000</w:t>
            </w:r>
          </w:p>
        </w:tc>
      </w:tr>
      <w:tr>
        <w:tc>
          <w:tcPr>
            <w:tcW w:type="dxa" w:w="3744"/>
            <w:tcMar>
              <w:top w:w="80" w:type="dxa"/>
              <w:bottom w:w="80" w:type="dxa"/>
              <w:left w:w="120" w:type="dxa"/>
              <w:right w:w="120" w:type="dxa"/>
            </w:tcMar>
          </w:tcPr>
          <w:p>
            <w:r/>
            <w:r>
              <w:rPr>
                <w:sz w:val="19"/>
              </w:rPr>
              <w:t>Q3</w:t>
            </w:r>
          </w:p>
        </w:tc>
        <w:tc>
          <w:tcPr>
            <w:tcW w:type="dxa" w:w="3168"/>
            <w:tcMar>
              <w:top w:w="80" w:type="dxa"/>
              <w:bottom w:w="80" w:type="dxa"/>
              <w:left w:w="120" w:type="dxa"/>
              <w:right w:w="120" w:type="dxa"/>
            </w:tcMar>
          </w:tcPr>
          <w:p>
            <w:r/>
            <w:r>
              <w:rPr>
                <w:sz w:val="19"/>
              </w:rPr>
              <w:t>10,000</w:t>
            </w:r>
          </w:p>
        </w:tc>
        <w:tc>
          <w:tcPr>
            <w:tcW w:type="dxa" w:w="2880"/>
            <w:tcMar>
              <w:top w:w="80" w:type="dxa"/>
              <w:bottom w:w="80" w:type="dxa"/>
              <w:left w:w="120" w:type="dxa"/>
              <w:right w:w="120" w:type="dxa"/>
            </w:tcMar>
          </w:tcPr>
          <w:p>
            <w:r/>
            <w:r>
              <w:rPr>
                <w:sz w:val="19"/>
              </w:rPr>
              <w:t>0</w:t>
            </w:r>
          </w:p>
        </w:tc>
      </w:tr>
      <w:tr>
        <w:tc>
          <w:tcPr>
            <w:tcW w:type="dxa" w:w="3744"/>
            <w:tcMar>
              <w:top w:w="80" w:type="dxa"/>
              <w:bottom w:w="80" w:type="dxa"/>
              <w:left w:w="120" w:type="dxa"/>
              <w:right w:w="120" w:type="dxa"/>
            </w:tcMar>
          </w:tcPr>
          <w:p>
            <w:r/>
            <w:r>
              <w:rPr>
                <w:sz w:val="19"/>
              </w:rPr>
              <w:t>Q4</w:t>
            </w:r>
          </w:p>
        </w:tc>
        <w:tc>
          <w:tcPr>
            <w:tcW w:type="dxa" w:w="3168"/>
            <w:tcMar>
              <w:top w:w="80" w:type="dxa"/>
              <w:bottom w:w="80" w:type="dxa"/>
              <w:left w:w="120" w:type="dxa"/>
              <w:right w:w="120" w:type="dxa"/>
            </w:tcMar>
          </w:tcPr>
          <w:p>
            <w:r/>
            <w:r>
              <w:rPr>
                <w:sz w:val="19"/>
              </w:rPr>
              <w:t>10,000</w:t>
            </w:r>
          </w:p>
        </w:tc>
        <w:tc>
          <w:tcPr>
            <w:tcW w:type="dxa" w:w="2880"/>
            <w:tcMar>
              <w:top w:w="80" w:type="dxa"/>
              <w:bottom w:w="80" w:type="dxa"/>
              <w:left w:w="120" w:type="dxa"/>
              <w:right w:w="120" w:type="dxa"/>
            </w:tcMar>
          </w:tcPr>
          <w:p>
            <w:r/>
            <w:r>
              <w:rPr>
                <w:sz w:val="19"/>
              </w:rPr>
              <w:t>0</w:t>
            </w:r>
          </w:p>
        </w:tc>
      </w:tr>
    </w:tbl>
    <w:p/>
    <w:p>
      <w:pPr>
        <w:spacing w:after="120"/>
      </w:pPr>
      <w:r>
        <w:rPr>
          <w:b w:val="0"/>
          <w:i w:val="0"/>
        </w:rPr>
        <w:t>The $10,000 balance is fully provisioned - the model treats it as a total loss - by the end of Q2, just two quarters after appearing as a fresh 1-30 balance. After that, the Provision Effect (the number that hits the P&amp;L) drops to zero for Q3 and Q4, simply because the balance already reached the maximum 100% rate and has nowhere further to climb.</w:t>
      </w:r>
    </w:p>
    <w:tbl>
      <w:tblPr>
        <w:tblW w:type="auto" w:w="0"/>
        <w:jc w:val="center"/>
        <w:tblLook w:firstColumn="1" w:firstRow="1" w:lastColumn="0" w:lastRow="0" w:noHBand="0" w:noVBand="1" w:val="04A0"/>
      </w:tblPr>
      <w:tblGrid>
        <w:gridCol w:w="9746"/>
      </w:tblGrid>
      <w:tr>
        <w:tc>
          <w:tcPr>
            <w:tcW w:type="dxa" w:w="9746"/>
            <w:shd w:val="clear" w:color="auto" w:fill="FFF4CE"/>
            <w:tcMar>
              <w:top w:w="140" w:type="dxa"/>
              <w:bottom w:w="140" w:type="dxa"/>
              <w:left w:w="200" w:type="dxa"/>
              <w:right w:w="200" w:type="dxa"/>
            </w:tcMar>
          </w:tcPr>
          <w:p>
            <w:r>
              <w:rPr>
                <w:b/>
              </w:rPr>
              <w:t xml:space="preserve">The lesson:  </w:t>
            </w:r>
            <w:r>
              <w:t>This is section 0.4's idea, proven with real, Excel-calculated numbers: a balance that is never collected doesn't stay quietly at $300 of risk forever. Left alone, it climbs to its full $10,000 exposure within six months.</w:t>
            </w:r>
          </w:p>
        </w:tc>
      </w:tr>
    </w:tbl>
    <w:p/>
    <w:p>
      <w:pPr>
        <w:pStyle w:val="Heading2"/>
      </w:pPr>
      <w:r>
        <w:t>2.10 Worked example: insurance netting</w:t>
      </w:r>
    </w:p>
    <w:p>
      <w:pPr>
        <w:spacing w:after="120"/>
      </w:pPr>
      <w:r>
        <w:rPr>
          <w:b w:val="0"/>
          <w:i w:val="0"/>
        </w:rPr>
        <w:t>A customer has $20,000 sitting in the &gt;=151 bucket (100% rate) and an insurance limit of $12,000. Without insurance, the provision on this bucket would simply be $20,000 x 100% = $20,000. With insurance, the model nets the insured slice at 5% of the normal rate and only the uninsured slice at the full rate: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032"/>
            <w:shd w:val="clear" w:color="auto" w:fill="1F3A5F"/>
            <w:tcMar>
              <w:top w:w="80" w:type="dxa"/>
              <w:bottom w:w="80" w:type="dxa"/>
              <w:left w:w="120" w:type="dxa"/>
              <w:right w:w="120" w:type="dxa"/>
            </w:tcMar>
          </w:tcPr>
          <w:p>
            <w:r/>
            <w:r>
              <w:rPr>
                <w:b/>
                <w:color w:val="FFFFFF"/>
              </w:rPr>
              <w:t>Piece</w:t>
            </w:r>
          </w:p>
        </w:tc>
        <w:tc>
          <w:tcPr>
            <w:tcW w:type="dxa" w:w="1728"/>
            <w:shd w:val="clear" w:color="auto" w:fill="1F3A5F"/>
            <w:tcMar>
              <w:top w:w="80" w:type="dxa"/>
              <w:bottom w:w="80" w:type="dxa"/>
              <w:left w:w="120" w:type="dxa"/>
              <w:right w:w="120" w:type="dxa"/>
            </w:tcMar>
          </w:tcPr>
          <w:p>
            <w:r/>
            <w:r>
              <w:rPr>
                <w:b/>
                <w:color w:val="FFFFFF"/>
              </w:rPr>
              <w:t>Amount</w:t>
            </w:r>
          </w:p>
        </w:tc>
        <w:tc>
          <w:tcPr>
            <w:tcW w:type="dxa" w:w="2304"/>
            <w:shd w:val="clear" w:color="auto" w:fill="1F3A5F"/>
            <w:tcMar>
              <w:top w:w="80" w:type="dxa"/>
              <w:bottom w:w="80" w:type="dxa"/>
              <w:left w:w="120" w:type="dxa"/>
              <w:right w:w="120" w:type="dxa"/>
            </w:tcMar>
          </w:tcPr>
          <w:p>
            <w:r/>
            <w:r>
              <w:rPr>
                <w:b/>
                <w:color w:val="FFFFFF"/>
              </w:rPr>
              <w:t>Rate applied</w:t>
            </w:r>
          </w:p>
        </w:tc>
        <w:tc>
          <w:tcPr>
            <w:tcW w:type="dxa" w:w="1728"/>
            <w:shd w:val="clear" w:color="auto" w:fill="1F3A5F"/>
            <w:tcMar>
              <w:top w:w="80" w:type="dxa"/>
              <w:bottom w:w="80" w:type="dxa"/>
              <w:left w:w="120" w:type="dxa"/>
              <w:right w:w="120" w:type="dxa"/>
            </w:tcMar>
          </w:tcPr>
          <w:p>
            <w:r/>
            <w:r>
              <w:rPr>
                <w:b/>
                <w:color w:val="FFFFFF"/>
              </w:rPr>
              <w:t>Provision</w:t>
            </w:r>
          </w:p>
        </w:tc>
      </w:tr>
      <w:tr>
        <w:tc>
          <w:tcPr>
            <w:tcW w:type="dxa" w:w="4032"/>
            <w:tcMar>
              <w:top w:w="80" w:type="dxa"/>
              <w:bottom w:w="80" w:type="dxa"/>
              <w:left w:w="120" w:type="dxa"/>
              <w:right w:w="120" w:type="dxa"/>
            </w:tcMar>
          </w:tcPr>
          <w:p>
            <w:r/>
            <w:r>
              <w:rPr>
                <w:sz w:val="19"/>
              </w:rPr>
              <w:t>Insured portion (up to the limit)</w:t>
            </w:r>
          </w:p>
        </w:tc>
        <w:tc>
          <w:tcPr>
            <w:tcW w:type="dxa" w:w="1728"/>
            <w:tcMar>
              <w:top w:w="80" w:type="dxa"/>
              <w:bottom w:w="80" w:type="dxa"/>
              <w:left w:w="120" w:type="dxa"/>
              <w:right w:w="120" w:type="dxa"/>
            </w:tcMar>
          </w:tcPr>
          <w:p>
            <w:r/>
            <w:r>
              <w:rPr>
                <w:sz w:val="19"/>
              </w:rPr>
              <w:t>12,000</w:t>
            </w:r>
          </w:p>
        </w:tc>
        <w:tc>
          <w:tcPr>
            <w:tcW w:type="dxa" w:w="2304"/>
            <w:tcMar>
              <w:top w:w="80" w:type="dxa"/>
              <w:bottom w:w="80" w:type="dxa"/>
              <w:left w:w="120" w:type="dxa"/>
              <w:right w:w="120" w:type="dxa"/>
            </w:tcMar>
          </w:tcPr>
          <w:p>
            <w:r/>
            <w:r>
              <w:rPr>
                <w:sz w:val="19"/>
              </w:rPr>
              <w:t>100% x 5% = 5%</w:t>
            </w:r>
          </w:p>
        </w:tc>
        <w:tc>
          <w:tcPr>
            <w:tcW w:type="dxa" w:w="1728"/>
            <w:tcMar>
              <w:top w:w="80" w:type="dxa"/>
              <w:bottom w:w="80" w:type="dxa"/>
              <w:left w:w="120" w:type="dxa"/>
              <w:right w:w="120" w:type="dxa"/>
            </w:tcMar>
          </w:tcPr>
          <w:p>
            <w:r/>
            <w:r>
              <w:rPr>
                <w:sz w:val="19"/>
              </w:rPr>
              <w:t>600</w:t>
            </w:r>
          </w:p>
        </w:tc>
      </w:tr>
      <w:tr>
        <w:tc>
          <w:tcPr>
            <w:tcW w:type="dxa" w:w="4032"/>
            <w:tcMar>
              <w:top w:w="80" w:type="dxa"/>
              <w:bottom w:w="80" w:type="dxa"/>
              <w:left w:w="120" w:type="dxa"/>
              <w:right w:w="120" w:type="dxa"/>
            </w:tcMar>
          </w:tcPr>
          <w:p>
            <w:r/>
            <w:r>
              <w:rPr>
                <w:sz w:val="19"/>
              </w:rPr>
              <w:t>Uninsured portion (balance above the limit)</w:t>
            </w:r>
          </w:p>
        </w:tc>
        <w:tc>
          <w:tcPr>
            <w:tcW w:type="dxa" w:w="1728"/>
            <w:tcMar>
              <w:top w:w="80" w:type="dxa"/>
              <w:bottom w:w="80" w:type="dxa"/>
              <w:left w:w="120" w:type="dxa"/>
              <w:right w:w="120" w:type="dxa"/>
            </w:tcMar>
          </w:tcPr>
          <w:p>
            <w:r/>
            <w:r>
              <w:rPr>
                <w:sz w:val="19"/>
              </w:rPr>
              <w:t>8,000</w:t>
            </w:r>
          </w:p>
        </w:tc>
        <w:tc>
          <w:tcPr>
            <w:tcW w:type="dxa" w:w="2304"/>
            <w:tcMar>
              <w:top w:w="80" w:type="dxa"/>
              <w:bottom w:w="80" w:type="dxa"/>
              <w:left w:w="120" w:type="dxa"/>
              <w:right w:w="120" w:type="dxa"/>
            </w:tcMar>
          </w:tcPr>
          <w:p>
            <w:r/>
            <w:r>
              <w:rPr>
                <w:sz w:val="19"/>
              </w:rPr>
              <w:t>100%</w:t>
            </w:r>
          </w:p>
        </w:tc>
        <w:tc>
          <w:tcPr>
            <w:tcW w:type="dxa" w:w="1728"/>
            <w:tcMar>
              <w:top w:w="80" w:type="dxa"/>
              <w:bottom w:w="80" w:type="dxa"/>
              <w:left w:w="120" w:type="dxa"/>
              <w:right w:w="120" w:type="dxa"/>
            </w:tcMar>
          </w:tcPr>
          <w:p>
            <w:r/>
            <w:r>
              <w:rPr>
                <w:sz w:val="19"/>
              </w:rPr>
              <w:t>8,000</w:t>
            </w:r>
          </w:p>
        </w:tc>
      </w:tr>
      <w:tr>
        <w:tc>
          <w:tcPr>
            <w:tcW w:type="dxa" w:w="4032"/>
            <w:tcMar>
              <w:top w:w="80" w:type="dxa"/>
              <w:bottom w:w="80" w:type="dxa"/>
              <w:left w:w="120" w:type="dxa"/>
              <w:right w:w="120" w:type="dxa"/>
            </w:tcMar>
          </w:tcPr>
          <w:p>
            <w:r/>
            <w:r>
              <w:rPr>
                <w:sz w:val="19"/>
              </w:rPr>
              <w:t>Total ("Provision after collection including Insurance/BG/LC")</w:t>
            </w:r>
          </w:p>
        </w:tc>
        <w:tc>
          <w:tcPr>
            <w:tcW w:type="dxa" w:w="1728"/>
            <w:tcMar>
              <w:top w:w="80" w:type="dxa"/>
              <w:bottom w:w="80" w:type="dxa"/>
              <w:left w:w="120" w:type="dxa"/>
              <w:right w:w="120" w:type="dxa"/>
            </w:tcMar>
          </w:tcPr>
          <w:p>
            <w:r/>
            <w:r>
              <w:rPr>
                <w:sz w:val="19"/>
              </w:rPr>
              <w:t>20,000</w:t>
            </w:r>
          </w:p>
        </w:tc>
        <w:tc>
          <w:tcPr>
            <w:tcW w:type="dxa" w:w="2304"/>
            <w:tcMar>
              <w:top w:w="80" w:type="dxa"/>
              <w:bottom w:w="80" w:type="dxa"/>
              <w:left w:w="120" w:type="dxa"/>
              <w:right w:w="120" w:type="dxa"/>
            </w:tcMar>
          </w:tcPr>
          <w:p>
            <w:r/>
            <w:r>
              <w:rPr>
                <w:sz w:val="19"/>
              </w:rPr>
              <w:t>-</w:t>
            </w:r>
          </w:p>
        </w:tc>
        <w:tc>
          <w:tcPr>
            <w:tcW w:type="dxa" w:w="1728"/>
            <w:tcMar>
              <w:top w:w="80" w:type="dxa"/>
              <w:bottom w:w="80" w:type="dxa"/>
              <w:left w:w="120" w:type="dxa"/>
              <w:right w:w="120" w:type="dxa"/>
            </w:tcMar>
          </w:tcPr>
          <w:p>
            <w:r/>
            <w:r>
              <w:rPr>
                <w:sz w:val="19"/>
              </w:rPr>
              <w:t>8,600</w:t>
            </w:r>
          </w:p>
        </w:tc>
      </w:tr>
    </w:tbl>
    <w:p/>
    <w:p>
      <w:pPr>
        <w:spacing w:after="120"/>
      </w:pPr>
      <w:r>
        <w:rPr>
          <w:b w:val="0"/>
          <w:i w:val="0"/>
        </w:rPr>
        <w:t>Insurance cut the provision on this balance from $20,000 to $8,600 - a $11,400 reduction, purely from the fact that most of it is covered by the insurer.</w:t>
      </w:r>
    </w:p>
    <w:p>
      <w:pPr>
        <w:pStyle w:val="Heading2"/>
      </w:pPr>
      <w:r>
        <w:t>2.10b Side note: on-account credit balances act like an automatic collection</w:t>
      </w:r>
    </w:p>
    <w:p>
      <w:pPr>
        <w:spacing w:after="120"/>
      </w:pPr>
      <w:r>
        <w:rPr>
          <w:b w:val="0"/>
          <w:i w:val="0"/>
        </w:rPr>
        <w:t>If a customer has a $20,000 balance in the &gt;=151 bucket but also carries a $5,000 credit (on-account) balance - money we owe them, from a return or overpayment - the model nets that credit against the oldest bucket automatically, exactly like a FIFO collection, even before any Collections FC is typed. Provision here comes out to $15,000 (the netted $15,000 remaining balance x 100%), not $20,000.</w:t>
      </w:r>
    </w:p>
    <w:p>
      <w:r>
        <w:br w:type="page"/>
      </w:r>
    </w:p>
    <w:p>
      <w:pPr>
        <w:pStyle w:val="Heading2"/>
      </w:pPr>
      <w:r>
        <w:t>2.11 The big walkthrough: one customer, all four quarters</w:t>
      </w:r>
    </w:p>
    <w:p>
      <w:pPr>
        <w:spacing w:after="120"/>
      </w:pPr>
      <w:r>
        <w:rPr>
          <w:b w:val="0"/>
          <w:i w:val="0"/>
        </w:rPr>
        <w:t>This is the centerpiece example - the same customer from Part 1, Al Noor Trading (Main Ac 12301, no insurance, no on-account credit), carried through Q1, Q2, Q3 and Q4 in a single workbook. AR Data Date is set early in Q1 (10 January 2026), so Q1 is the active quarter and Q2/Q3/Q4 are forward-looking forecasts within the same file.</w:t>
      </w:r>
    </w:p>
    <w:p>
      <w:pPr>
        <w:spacing w:after="120"/>
      </w:pPr>
      <w:r>
        <w:rPr>
          <w:b w:val="0"/>
          <w:i w:val="0"/>
        </w:rPr>
        <w:t>Starting balances:</w:t>
      </w:r>
    </w:p>
    <w:tbl>
      <w:tblPr>
        <w:tblStyle w:val="LightGrid-Accent1"/>
        <w:tblW w:type="auto" w:w="0"/>
        <w:jc w:val="center"/>
        <w:tblLook w:firstColumn="1" w:firstRow="1" w:lastColumn="0" w:lastRow="0" w:noHBand="0" w:noVBand="1" w:val="04A0"/>
      </w:tblPr>
      <w:tblGrid>
        <w:gridCol w:w="4873"/>
        <w:gridCol w:w="4873"/>
      </w:tblGrid>
      <w:tr>
        <w:tc>
          <w:tcPr>
            <w:tcW w:type="dxa" w:w="2880"/>
            <w:shd w:val="clear" w:color="auto" w:fill="1F3A5F"/>
            <w:tcMar>
              <w:top w:w="80" w:type="dxa"/>
              <w:bottom w:w="80" w:type="dxa"/>
              <w:left w:w="120" w:type="dxa"/>
              <w:right w:w="120" w:type="dxa"/>
            </w:tcMar>
          </w:tcPr>
          <w:p>
            <w:r/>
            <w:r>
              <w:rPr>
                <w:b/>
                <w:color w:val="FFFFFF"/>
              </w:rPr>
              <w:t>Bucket</w:t>
            </w:r>
          </w:p>
        </w:tc>
        <w:tc>
          <w:tcPr>
            <w:tcW w:type="dxa" w:w="6336"/>
            <w:shd w:val="clear" w:color="auto" w:fill="1F3A5F"/>
            <w:tcMar>
              <w:top w:w="80" w:type="dxa"/>
              <w:bottom w:w="80" w:type="dxa"/>
              <w:left w:w="120" w:type="dxa"/>
              <w:right w:w="120" w:type="dxa"/>
            </w:tcMar>
          </w:tcPr>
          <w:p>
            <w:r/>
            <w:r>
              <w:rPr>
                <w:b/>
                <w:color w:val="FFFFFF"/>
              </w:rPr>
              <w:t>Amount</w:t>
            </w:r>
          </w:p>
        </w:tc>
      </w:tr>
      <w:tr>
        <w:tc>
          <w:tcPr>
            <w:tcW w:type="dxa" w:w="2880"/>
            <w:tcMar>
              <w:top w:w="80" w:type="dxa"/>
              <w:bottom w:w="80" w:type="dxa"/>
              <w:left w:w="120" w:type="dxa"/>
              <w:right w:w="120" w:type="dxa"/>
            </w:tcMar>
          </w:tcPr>
          <w:p>
            <w:r/>
            <w:r>
              <w:rPr>
                <w:sz w:val="19"/>
              </w:rPr>
              <w:t>Not Due (total)</w:t>
            </w:r>
          </w:p>
        </w:tc>
        <w:tc>
          <w:tcPr>
            <w:tcW w:type="dxa" w:w="6336"/>
            <w:tcMar>
              <w:top w:w="80" w:type="dxa"/>
              <w:bottom w:w="80" w:type="dxa"/>
              <w:left w:w="120" w:type="dxa"/>
              <w:right w:w="120" w:type="dxa"/>
            </w:tcMar>
          </w:tcPr>
          <w:p>
            <w:r/>
            <w:r>
              <w:rPr>
                <w:sz w:val="19"/>
              </w:rPr>
              <w:t>100,000  (split: 0-30d 40,000 / 31-60d 30,000 / 61-90d 20,000 / 91-180d 10,000 / 180+d 0)</w:t>
            </w:r>
          </w:p>
        </w:tc>
      </w:tr>
      <w:tr>
        <w:tc>
          <w:tcPr>
            <w:tcW w:type="dxa" w:w="2880"/>
            <w:tcMar>
              <w:top w:w="80" w:type="dxa"/>
              <w:bottom w:w="80" w:type="dxa"/>
              <w:left w:w="120" w:type="dxa"/>
              <w:right w:w="120" w:type="dxa"/>
            </w:tcMar>
          </w:tcPr>
          <w:p>
            <w:r/>
            <w:r>
              <w:rPr>
                <w:sz w:val="19"/>
              </w:rPr>
              <w:t>1 to 30</w:t>
            </w:r>
          </w:p>
        </w:tc>
        <w:tc>
          <w:tcPr>
            <w:tcW w:type="dxa" w:w="6336"/>
            <w:tcMar>
              <w:top w:w="80" w:type="dxa"/>
              <w:bottom w:w="80" w:type="dxa"/>
              <w:left w:w="120" w:type="dxa"/>
              <w:right w:w="120" w:type="dxa"/>
            </w:tcMar>
          </w:tcPr>
          <w:p>
            <w:r/>
            <w:r>
              <w:rPr>
                <w:sz w:val="19"/>
              </w:rPr>
              <w:t>80,000</w:t>
            </w:r>
          </w:p>
        </w:tc>
      </w:tr>
      <w:tr>
        <w:tc>
          <w:tcPr>
            <w:tcW w:type="dxa" w:w="2880"/>
            <w:tcMar>
              <w:top w:w="80" w:type="dxa"/>
              <w:bottom w:w="80" w:type="dxa"/>
              <w:left w:w="120" w:type="dxa"/>
              <w:right w:w="120" w:type="dxa"/>
            </w:tcMar>
          </w:tcPr>
          <w:p>
            <w:r/>
            <w:r>
              <w:rPr>
                <w:sz w:val="19"/>
              </w:rPr>
              <w:t>31 to 60</w:t>
            </w:r>
          </w:p>
        </w:tc>
        <w:tc>
          <w:tcPr>
            <w:tcW w:type="dxa" w:w="6336"/>
            <w:tcMar>
              <w:top w:w="80" w:type="dxa"/>
              <w:bottom w:w="80" w:type="dxa"/>
              <w:left w:w="120" w:type="dxa"/>
              <w:right w:w="120" w:type="dxa"/>
            </w:tcMar>
          </w:tcPr>
          <w:p>
            <w:r/>
            <w:r>
              <w:rPr>
                <w:sz w:val="19"/>
              </w:rPr>
              <w:t>60,000</w:t>
            </w:r>
          </w:p>
        </w:tc>
      </w:tr>
      <w:tr>
        <w:tc>
          <w:tcPr>
            <w:tcW w:type="dxa" w:w="2880"/>
            <w:tcMar>
              <w:top w:w="80" w:type="dxa"/>
              <w:bottom w:w="80" w:type="dxa"/>
              <w:left w:w="120" w:type="dxa"/>
              <w:right w:w="120" w:type="dxa"/>
            </w:tcMar>
          </w:tcPr>
          <w:p>
            <w:r/>
            <w:r>
              <w:rPr>
                <w:sz w:val="19"/>
              </w:rPr>
              <w:t>61 to 90</w:t>
            </w:r>
          </w:p>
        </w:tc>
        <w:tc>
          <w:tcPr>
            <w:tcW w:type="dxa" w:w="6336"/>
            <w:tcMar>
              <w:top w:w="80" w:type="dxa"/>
              <w:bottom w:w="80" w:type="dxa"/>
              <w:left w:w="120" w:type="dxa"/>
              <w:right w:w="120" w:type="dxa"/>
            </w:tcMar>
          </w:tcPr>
          <w:p>
            <w:r/>
            <w:r>
              <w:rPr>
                <w:sz w:val="19"/>
              </w:rPr>
              <w:t>60,000</w:t>
            </w:r>
          </w:p>
        </w:tc>
      </w:tr>
      <w:tr>
        <w:tc>
          <w:tcPr>
            <w:tcW w:type="dxa" w:w="2880"/>
            <w:tcMar>
              <w:top w:w="80" w:type="dxa"/>
              <w:bottom w:w="80" w:type="dxa"/>
              <w:left w:w="120" w:type="dxa"/>
              <w:right w:w="120" w:type="dxa"/>
            </w:tcMar>
          </w:tcPr>
          <w:p>
            <w:r/>
            <w:r>
              <w:rPr>
                <w:sz w:val="19"/>
              </w:rPr>
              <w:t>91 to 120</w:t>
            </w:r>
          </w:p>
        </w:tc>
        <w:tc>
          <w:tcPr>
            <w:tcW w:type="dxa" w:w="6336"/>
            <w:tcMar>
              <w:top w:w="80" w:type="dxa"/>
              <w:bottom w:w="80" w:type="dxa"/>
              <w:left w:w="120" w:type="dxa"/>
              <w:right w:w="120" w:type="dxa"/>
            </w:tcMar>
          </w:tcPr>
          <w:p>
            <w:r/>
            <w:r>
              <w:rPr>
                <w:sz w:val="19"/>
              </w:rPr>
              <w:t>100,000</w:t>
            </w:r>
          </w:p>
        </w:tc>
      </w:tr>
      <w:tr>
        <w:tc>
          <w:tcPr>
            <w:tcW w:type="dxa" w:w="2880"/>
            <w:tcMar>
              <w:top w:w="80" w:type="dxa"/>
              <w:bottom w:w="80" w:type="dxa"/>
              <w:left w:w="120" w:type="dxa"/>
              <w:right w:w="120" w:type="dxa"/>
            </w:tcMar>
          </w:tcPr>
          <w:p>
            <w:r/>
            <w:r>
              <w:rPr>
                <w:sz w:val="19"/>
              </w:rPr>
              <w:t>121 to 150</w:t>
            </w:r>
          </w:p>
        </w:tc>
        <w:tc>
          <w:tcPr>
            <w:tcW w:type="dxa" w:w="6336"/>
            <w:tcMar>
              <w:top w:w="80" w:type="dxa"/>
              <w:bottom w:w="80" w:type="dxa"/>
              <w:left w:w="120" w:type="dxa"/>
              <w:right w:w="120" w:type="dxa"/>
            </w:tcMar>
          </w:tcPr>
          <w:p>
            <w:r/>
            <w:r>
              <w:rPr>
                <w:sz w:val="19"/>
              </w:rPr>
              <w:t>60,000</w:t>
            </w:r>
          </w:p>
        </w:tc>
      </w:tr>
      <w:tr>
        <w:tc>
          <w:tcPr>
            <w:tcW w:type="dxa" w:w="2880"/>
            <w:tcMar>
              <w:top w:w="80" w:type="dxa"/>
              <w:bottom w:w="80" w:type="dxa"/>
              <w:left w:w="120" w:type="dxa"/>
              <w:right w:w="120" w:type="dxa"/>
            </w:tcMar>
          </w:tcPr>
          <w:p>
            <w:r/>
            <w:r>
              <w:rPr>
                <w:sz w:val="19"/>
              </w:rPr>
              <w:t>&gt;= 151</w:t>
            </w:r>
          </w:p>
        </w:tc>
        <w:tc>
          <w:tcPr>
            <w:tcW w:type="dxa" w:w="6336"/>
            <w:tcMar>
              <w:top w:w="80" w:type="dxa"/>
              <w:bottom w:w="80" w:type="dxa"/>
              <w:left w:w="120" w:type="dxa"/>
              <w:right w:w="120" w:type="dxa"/>
            </w:tcMar>
          </w:tcPr>
          <w:p>
            <w:r/>
            <w:r>
              <w:rPr>
                <w:sz w:val="19"/>
              </w:rPr>
              <w:t>100,000</w:t>
            </w:r>
          </w:p>
        </w:tc>
      </w:tr>
      <w:tr>
        <w:tc>
          <w:tcPr>
            <w:tcW w:type="dxa" w:w="2880"/>
            <w:tcMar>
              <w:top w:w="80" w:type="dxa"/>
              <w:bottom w:w="80" w:type="dxa"/>
              <w:left w:w="120" w:type="dxa"/>
              <w:right w:w="120" w:type="dxa"/>
            </w:tcMar>
          </w:tcPr>
          <w:p>
            <w:r/>
            <w:r>
              <w:rPr>
                <w:sz w:val="19"/>
              </w:rPr>
              <w:t>AR Balance (total)</w:t>
            </w:r>
          </w:p>
        </w:tc>
        <w:tc>
          <w:tcPr>
            <w:tcW w:type="dxa" w:w="6336"/>
            <w:tcMar>
              <w:top w:w="80" w:type="dxa"/>
              <w:bottom w:w="80" w:type="dxa"/>
              <w:left w:w="120" w:type="dxa"/>
              <w:right w:w="120" w:type="dxa"/>
            </w:tcMar>
          </w:tcPr>
          <w:p>
            <w:r/>
            <w:r>
              <w:rPr>
                <w:sz w:val="19"/>
              </w:rPr>
              <w:t>560,000</w:t>
            </w:r>
          </w:p>
        </w:tc>
      </w:tr>
    </w:tbl>
    <w:p/>
    <w:p>
      <w:pPr>
        <w:spacing w:after="120"/>
      </w:pPr>
      <w:r>
        <w:rPr>
          <w:b w:val="0"/>
          <w:i w:val="0"/>
        </w:rPr>
        <w:t>The credit manager forecasts collecting $60,000 in Q1 via Collections FC, and - realistically, since nobody can predict three quarters ahead with certainty - leaves Q2, Q3 and Q4's Collections FC blank for now (see the workflow rule in section 2.3: each future quarter's own file will get freshly filled in when its turn comes).</w:t>
      </w:r>
    </w:p>
    <w:tbl>
      <w:tblPr>
        <w:tblStyle w:val="LightGrid-Accent1"/>
        <w:tblW w:type="auto" w:w="0"/>
        <w:jc w:val="center"/>
        <w:tblLook w:firstColumn="1" w:firstRow="1" w:lastColumn="0" w:lastRow="0" w:noHBand="0" w:noVBand="1" w:val="04A0"/>
      </w:tblPr>
      <w:tblGrid>
        <w:gridCol w:w="4873"/>
        <w:gridCol w:w="4873"/>
      </w:tblGrid>
      <w:tr>
        <w:tc>
          <w:tcPr>
            <w:tcW w:type="dxa" w:w="5184"/>
            <w:shd w:val="clear" w:color="auto" w:fill="1F3A5F"/>
            <w:tcMar>
              <w:top w:w="80" w:type="dxa"/>
              <w:bottom w:w="80" w:type="dxa"/>
              <w:left w:w="120" w:type="dxa"/>
              <w:right w:w="120" w:type="dxa"/>
            </w:tcMar>
          </w:tcPr>
          <w:p>
            <w:r/>
            <w:r>
              <w:rPr>
                <w:b/>
                <w:color w:val="FFFFFF"/>
              </w:rPr>
              <w:t>Column</w:t>
            </w:r>
          </w:p>
        </w:tc>
        <w:tc>
          <w:tcPr>
            <w:tcW w:type="dxa" w:w="2880"/>
            <w:shd w:val="clear" w:color="auto" w:fill="1F3A5F"/>
            <w:tcMar>
              <w:top w:w="80" w:type="dxa"/>
              <w:bottom w:w="80" w:type="dxa"/>
              <w:left w:w="120" w:type="dxa"/>
              <w:right w:w="120" w:type="dxa"/>
            </w:tcMar>
          </w:tcPr>
          <w:p>
            <w:r/>
            <w:r>
              <w:rPr>
                <w:b/>
                <w:color w:val="FFFFFF"/>
              </w:rPr>
              <w:t>Value</w:t>
            </w:r>
          </w:p>
        </w:tc>
      </w:tr>
      <w:tr>
        <w:tc>
          <w:tcPr>
            <w:tcW w:type="dxa" w:w="5184"/>
            <w:tcMar>
              <w:top w:w="80" w:type="dxa"/>
              <w:bottom w:w="80" w:type="dxa"/>
              <w:left w:w="120" w:type="dxa"/>
              <w:right w:w="120" w:type="dxa"/>
            </w:tcMar>
          </w:tcPr>
          <w:p>
            <w:r/>
            <w:r>
              <w:rPr>
                <w:sz w:val="19"/>
              </w:rPr>
              <w:t>Provision without any collection (baseline)</w:t>
            </w:r>
          </w:p>
        </w:tc>
        <w:tc>
          <w:tcPr>
            <w:tcW w:type="dxa" w:w="2880"/>
            <w:tcMar>
              <w:top w:w="80" w:type="dxa"/>
              <w:bottom w:w="80" w:type="dxa"/>
              <w:left w:w="120" w:type="dxa"/>
              <w:right w:w="120" w:type="dxa"/>
            </w:tcMar>
          </w:tcPr>
          <w:p>
            <w:r/>
            <w:r>
              <w:rPr>
                <w:sz w:val="19"/>
              </w:rPr>
              <w:t>217,200</w:t>
            </w:r>
          </w:p>
        </w:tc>
      </w:tr>
      <w:tr>
        <w:tc>
          <w:tcPr>
            <w:tcW w:type="dxa" w:w="5184"/>
            <w:tcMar>
              <w:top w:w="80" w:type="dxa"/>
              <w:bottom w:w="80" w:type="dxa"/>
              <w:left w:w="120" w:type="dxa"/>
              <w:right w:w="120" w:type="dxa"/>
            </w:tcMar>
          </w:tcPr>
          <w:p>
            <w:r/>
            <w:r>
              <w:rPr>
                <w:sz w:val="19"/>
              </w:rPr>
              <w:t>Provision after collection incl. Insurance/BG/LC</w:t>
            </w:r>
          </w:p>
        </w:tc>
        <w:tc>
          <w:tcPr>
            <w:tcW w:type="dxa" w:w="2880"/>
            <w:tcMar>
              <w:top w:w="80" w:type="dxa"/>
              <w:bottom w:w="80" w:type="dxa"/>
              <w:left w:w="120" w:type="dxa"/>
              <w:right w:w="120" w:type="dxa"/>
            </w:tcMar>
          </w:tcPr>
          <w:p>
            <w:r/>
            <w:r>
              <w:rPr>
                <w:sz w:val="19"/>
              </w:rPr>
              <w:t>157,200</w:t>
            </w:r>
          </w:p>
        </w:tc>
      </w:tr>
    </w:tbl>
    <w:p/>
    <w:p>
      <w:pPr>
        <w:pStyle w:val="Heading3"/>
      </w:pPr>
      <w:r>
        <w:t>Q1 (active quarter)</w:t>
      </w:r>
    </w:p>
    <w:tbl>
      <w:tblPr>
        <w:tblStyle w:val="LightGrid-Accent1"/>
        <w:tblW w:type="auto" w:w="0"/>
        <w:jc w:val="center"/>
        <w:tblLook w:firstColumn="1" w:firstRow="1" w:lastColumn="0" w:lastRow="0" w:noHBand="0" w:noVBand="1" w:val="04A0"/>
      </w:tblPr>
      <w:tblGrid>
        <w:gridCol w:w="4873"/>
        <w:gridCol w:w="4873"/>
      </w:tblGrid>
      <w:tr>
        <w:tc>
          <w:tcPr>
            <w:tcW w:type="dxa" w:w="5184"/>
            <w:shd w:val="clear" w:color="auto" w:fill="1F3A5F"/>
            <w:tcMar>
              <w:top w:w="80" w:type="dxa"/>
              <w:bottom w:w="80" w:type="dxa"/>
              <w:left w:w="120" w:type="dxa"/>
              <w:right w:w="120" w:type="dxa"/>
            </w:tcMar>
          </w:tcPr>
          <w:p>
            <w:r/>
            <w:r>
              <w:rPr>
                <w:b/>
                <w:color w:val="FFFFFF"/>
              </w:rPr>
              <w:t>Column</w:t>
            </w:r>
          </w:p>
        </w:tc>
        <w:tc>
          <w:tcPr>
            <w:tcW w:type="dxa" w:w="2880"/>
            <w:shd w:val="clear" w:color="auto" w:fill="1F3A5F"/>
            <w:tcMar>
              <w:top w:w="80" w:type="dxa"/>
              <w:bottom w:w="80" w:type="dxa"/>
              <w:left w:w="120" w:type="dxa"/>
              <w:right w:w="120" w:type="dxa"/>
            </w:tcMar>
          </w:tcPr>
          <w:p>
            <w:r/>
            <w:r>
              <w:rPr>
                <w:b/>
                <w:color w:val="FFFFFF"/>
              </w:rPr>
              <w:t>Value</w:t>
            </w:r>
          </w:p>
        </w:tc>
      </w:tr>
      <w:tr>
        <w:tc>
          <w:tcPr>
            <w:tcW w:type="dxa" w:w="5184"/>
            <w:tcMar>
              <w:top w:w="80" w:type="dxa"/>
              <w:bottom w:w="80" w:type="dxa"/>
              <w:left w:w="120" w:type="dxa"/>
              <w:right w:w="120" w:type="dxa"/>
            </w:tcMar>
          </w:tcPr>
          <w:p>
            <w:r/>
            <w:r>
              <w:rPr>
                <w:sz w:val="19"/>
              </w:rPr>
              <w:t>Collections FC</w:t>
            </w:r>
          </w:p>
        </w:tc>
        <w:tc>
          <w:tcPr>
            <w:tcW w:type="dxa" w:w="2880"/>
            <w:tcMar>
              <w:top w:w="80" w:type="dxa"/>
              <w:bottom w:w="80" w:type="dxa"/>
              <w:left w:w="120" w:type="dxa"/>
              <w:right w:w="120" w:type="dxa"/>
            </w:tcMar>
          </w:tcPr>
          <w:p>
            <w:r/>
            <w:r>
              <w:rPr>
                <w:sz w:val="19"/>
              </w:rPr>
              <w:t>60,000</w:t>
            </w:r>
          </w:p>
        </w:tc>
      </w:tr>
      <w:tr>
        <w:tc>
          <w:tcPr>
            <w:tcW w:type="dxa" w:w="5184"/>
            <w:tcMar>
              <w:top w:w="80" w:type="dxa"/>
              <w:bottom w:w="80" w:type="dxa"/>
              <w:left w:w="120" w:type="dxa"/>
              <w:right w:w="120" w:type="dxa"/>
            </w:tcMar>
          </w:tcPr>
          <w:p>
            <w:r/>
            <w:r>
              <w:rPr>
                <w:sz w:val="19"/>
              </w:rPr>
              <w:t>Expected AR</w:t>
            </w:r>
          </w:p>
        </w:tc>
        <w:tc>
          <w:tcPr>
            <w:tcW w:type="dxa" w:w="2880"/>
            <w:tcMar>
              <w:top w:w="80" w:type="dxa"/>
              <w:bottom w:w="80" w:type="dxa"/>
              <w:left w:w="120" w:type="dxa"/>
              <w:right w:w="120" w:type="dxa"/>
            </w:tcMar>
          </w:tcPr>
          <w:p>
            <w:r/>
            <w:r>
              <w:rPr>
                <w:sz w:val="19"/>
              </w:rPr>
              <w:t>500,000  (560,000 balance - 60,000 collected)</w:t>
            </w:r>
          </w:p>
        </w:tc>
      </w:tr>
      <w:tr>
        <w:tc>
          <w:tcPr>
            <w:tcW w:type="dxa" w:w="5184"/>
            <w:tcMar>
              <w:top w:w="80" w:type="dxa"/>
              <w:bottom w:w="80" w:type="dxa"/>
              <w:left w:w="120" w:type="dxa"/>
              <w:right w:w="120" w:type="dxa"/>
            </w:tcMar>
          </w:tcPr>
          <w:p>
            <w:r/>
            <w:r>
              <w:rPr>
                <w:sz w:val="19"/>
              </w:rPr>
              <w:t>Provision Effect</w:t>
            </w:r>
          </w:p>
        </w:tc>
        <w:tc>
          <w:tcPr>
            <w:tcW w:type="dxa" w:w="2880"/>
            <w:tcMar>
              <w:top w:w="80" w:type="dxa"/>
              <w:bottom w:w="80" w:type="dxa"/>
              <w:left w:w="120" w:type="dxa"/>
              <w:right w:w="120" w:type="dxa"/>
            </w:tcMar>
          </w:tcPr>
          <w:p>
            <w:r/>
            <w:r>
              <w:rPr>
                <w:sz w:val="19"/>
              </w:rPr>
              <w:t>189,300  (this is the number that hits the P&amp;L this quarter)</w:t>
            </w:r>
          </w:p>
        </w:tc>
      </w:tr>
      <w:tr>
        <w:tc>
          <w:tcPr>
            <w:tcW w:type="dxa" w:w="5184"/>
            <w:tcMar>
              <w:top w:w="80" w:type="dxa"/>
              <w:bottom w:w="80" w:type="dxa"/>
              <w:left w:w="120" w:type="dxa"/>
              <w:right w:w="120" w:type="dxa"/>
            </w:tcMar>
          </w:tcPr>
          <w:p>
            <w:r/>
            <w:r>
              <w:rPr>
                <w:sz w:val="19"/>
              </w:rPr>
              <w:t>AR Provision FC (forecast as of 31 Mar 2026)</w:t>
            </w:r>
          </w:p>
        </w:tc>
        <w:tc>
          <w:tcPr>
            <w:tcW w:type="dxa" w:w="2880"/>
            <w:tcMar>
              <w:top w:w="80" w:type="dxa"/>
              <w:bottom w:w="80" w:type="dxa"/>
              <w:left w:w="120" w:type="dxa"/>
              <w:right w:w="120" w:type="dxa"/>
            </w:tcMar>
          </w:tcPr>
          <w:p>
            <w:r/>
            <w:r>
              <w:rPr>
                <w:sz w:val="19"/>
              </w:rPr>
              <w:t>346,500</w:t>
            </w:r>
          </w:p>
        </w:tc>
      </w:tr>
    </w:tbl>
    <w:p/>
    <w:p>
      <w:pPr>
        <w:pStyle w:val="Heading3"/>
      </w:pPr>
      <w:r>
        <w:t>Q2 - no further collection forecast entered</w:t>
      </w:r>
    </w:p>
    <w:tbl>
      <w:tblPr>
        <w:tblStyle w:val="LightGrid-Accent1"/>
        <w:tblW w:type="auto" w:w="0"/>
        <w:jc w:val="center"/>
        <w:tblLook w:firstColumn="1" w:firstRow="1" w:lastColumn="0" w:lastRow="0" w:noHBand="0" w:noVBand="1" w:val="04A0"/>
      </w:tblPr>
      <w:tblGrid>
        <w:gridCol w:w="4873"/>
        <w:gridCol w:w="4873"/>
      </w:tblGrid>
      <w:tr>
        <w:tc>
          <w:tcPr>
            <w:tcW w:type="dxa" w:w="5184"/>
            <w:shd w:val="clear" w:color="auto" w:fill="1F3A5F"/>
            <w:tcMar>
              <w:top w:w="80" w:type="dxa"/>
              <w:bottom w:w="80" w:type="dxa"/>
              <w:left w:w="120" w:type="dxa"/>
              <w:right w:w="120" w:type="dxa"/>
            </w:tcMar>
          </w:tcPr>
          <w:p>
            <w:r/>
            <w:r>
              <w:rPr>
                <w:b/>
                <w:color w:val="FFFFFF"/>
              </w:rPr>
              <w:t>Column</w:t>
            </w:r>
          </w:p>
        </w:tc>
        <w:tc>
          <w:tcPr>
            <w:tcW w:type="dxa" w:w="2880"/>
            <w:shd w:val="clear" w:color="auto" w:fill="1F3A5F"/>
            <w:tcMar>
              <w:top w:w="80" w:type="dxa"/>
              <w:bottom w:w="80" w:type="dxa"/>
              <w:left w:w="120" w:type="dxa"/>
              <w:right w:w="120" w:type="dxa"/>
            </w:tcMar>
          </w:tcPr>
          <w:p>
            <w:r/>
            <w:r>
              <w:rPr>
                <w:b/>
                <w:color w:val="FFFFFF"/>
              </w:rPr>
              <w:t>Value</w:t>
            </w:r>
          </w:p>
        </w:tc>
      </w:tr>
      <w:tr>
        <w:tc>
          <w:tcPr>
            <w:tcW w:type="dxa" w:w="5184"/>
            <w:tcMar>
              <w:top w:w="80" w:type="dxa"/>
              <w:bottom w:w="80" w:type="dxa"/>
              <w:left w:w="120" w:type="dxa"/>
              <w:right w:w="120" w:type="dxa"/>
            </w:tcMar>
          </w:tcPr>
          <w:p>
            <w:r/>
            <w:r>
              <w:rPr>
                <w:sz w:val="19"/>
              </w:rPr>
              <w:t>Collections FC</w:t>
            </w:r>
          </w:p>
        </w:tc>
        <w:tc>
          <w:tcPr>
            <w:tcW w:type="dxa" w:w="2880"/>
            <w:tcMar>
              <w:top w:w="80" w:type="dxa"/>
              <w:bottom w:w="80" w:type="dxa"/>
              <w:left w:w="120" w:type="dxa"/>
              <w:right w:w="120" w:type="dxa"/>
            </w:tcMar>
          </w:tcPr>
          <w:p>
            <w:r/>
            <w:r>
              <w:rPr>
                <w:sz w:val="19"/>
              </w:rPr>
              <w:t>(blank)</w:t>
            </w:r>
          </w:p>
        </w:tc>
      </w:tr>
      <w:tr>
        <w:tc>
          <w:tcPr>
            <w:tcW w:type="dxa" w:w="5184"/>
            <w:tcMar>
              <w:top w:w="80" w:type="dxa"/>
              <w:bottom w:w="80" w:type="dxa"/>
              <w:left w:w="120" w:type="dxa"/>
              <w:right w:w="120" w:type="dxa"/>
            </w:tcMar>
          </w:tcPr>
          <w:p>
            <w:r/>
            <w:r>
              <w:rPr>
                <w:sz w:val="19"/>
              </w:rPr>
              <w:t>Expected AR</w:t>
            </w:r>
          </w:p>
        </w:tc>
        <w:tc>
          <w:tcPr>
            <w:tcW w:type="dxa" w:w="2880"/>
            <w:tcMar>
              <w:top w:w="80" w:type="dxa"/>
              <w:bottom w:w="80" w:type="dxa"/>
              <w:left w:w="120" w:type="dxa"/>
              <w:right w:w="120" w:type="dxa"/>
            </w:tcMar>
          </w:tcPr>
          <w:p>
            <w:r/>
            <w:r>
              <w:rPr>
                <w:sz w:val="19"/>
              </w:rPr>
              <w:t>500,000  (unchanged - no new collection forecast)</w:t>
            </w:r>
          </w:p>
        </w:tc>
      </w:tr>
      <w:tr>
        <w:tc>
          <w:tcPr>
            <w:tcW w:type="dxa" w:w="5184"/>
            <w:tcMar>
              <w:top w:w="80" w:type="dxa"/>
              <w:bottom w:w="80" w:type="dxa"/>
              <w:left w:w="120" w:type="dxa"/>
              <w:right w:w="120" w:type="dxa"/>
            </w:tcMar>
          </w:tcPr>
          <w:p>
            <w:r/>
            <w:r>
              <w:rPr>
                <w:sz w:val="19"/>
              </w:rPr>
              <w:t>Provision Effect</w:t>
            </w:r>
          </w:p>
        </w:tc>
        <w:tc>
          <w:tcPr>
            <w:tcW w:type="dxa" w:w="2880"/>
            <w:tcMar>
              <w:top w:w="80" w:type="dxa"/>
              <w:bottom w:w="80" w:type="dxa"/>
              <w:left w:w="120" w:type="dxa"/>
              <w:right w:w="120" w:type="dxa"/>
            </w:tcMar>
          </w:tcPr>
          <w:p>
            <w:r/>
            <w:r>
              <w:rPr>
                <w:sz w:val="19"/>
              </w:rPr>
              <w:t>81,600  (additional P&amp;L charge this quarter)</w:t>
            </w:r>
          </w:p>
        </w:tc>
      </w:tr>
      <w:tr>
        <w:tc>
          <w:tcPr>
            <w:tcW w:type="dxa" w:w="5184"/>
            <w:tcMar>
              <w:top w:w="80" w:type="dxa"/>
              <w:bottom w:w="80" w:type="dxa"/>
              <w:left w:w="120" w:type="dxa"/>
              <w:right w:w="120" w:type="dxa"/>
            </w:tcMar>
          </w:tcPr>
          <w:p>
            <w:r/>
            <w:r>
              <w:rPr>
                <w:sz w:val="19"/>
              </w:rPr>
              <w:t>AR Provision FC (forecast as of 30 Jun 2026)</w:t>
            </w:r>
          </w:p>
        </w:tc>
        <w:tc>
          <w:tcPr>
            <w:tcW w:type="dxa" w:w="2880"/>
            <w:tcMar>
              <w:top w:w="80" w:type="dxa"/>
              <w:bottom w:w="80" w:type="dxa"/>
              <w:left w:w="120" w:type="dxa"/>
              <w:right w:w="120" w:type="dxa"/>
            </w:tcMar>
          </w:tcPr>
          <w:p>
            <w:r/>
            <w:r>
              <w:rPr>
                <w:sz w:val="19"/>
              </w:rPr>
              <w:t>428,100</w:t>
            </w:r>
          </w:p>
        </w:tc>
      </w:tr>
    </w:tbl>
    <w:p/>
    <w:p>
      <w:pPr>
        <w:pStyle w:val="Heading3"/>
      </w:pPr>
      <w:r>
        <w:t>Q3 - still no further collection forecast entered</w:t>
      </w:r>
    </w:p>
    <w:tbl>
      <w:tblPr>
        <w:tblStyle w:val="LightGrid-Accent1"/>
        <w:tblW w:type="auto" w:w="0"/>
        <w:jc w:val="center"/>
        <w:tblLook w:firstColumn="1" w:firstRow="1" w:lastColumn="0" w:lastRow="0" w:noHBand="0" w:noVBand="1" w:val="04A0"/>
      </w:tblPr>
      <w:tblGrid>
        <w:gridCol w:w="4873"/>
        <w:gridCol w:w="4873"/>
      </w:tblGrid>
      <w:tr>
        <w:tc>
          <w:tcPr>
            <w:tcW w:type="dxa" w:w="5184"/>
            <w:shd w:val="clear" w:color="auto" w:fill="1F3A5F"/>
            <w:tcMar>
              <w:top w:w="80" w:type="dxa"/>
              <w:bottom w:w="80" w:type="dxa"/>
              <w:left w:w="120" w:type="dxa"/>
              <w:right w:w="120" w:type="dxa"/>
            </w:tcMar>
          </w:tcPr>
          <w:p>
            <w:r/>
            <w:r>
              <w:rPr>
                <w:b/>
                <w:color w:val="FFFFFF"/>
              </w:rPr>
              <w:t>Column</w:t>
            </w:r>
          </w:p>
        </w:tc>
        <w:tc>
          <w:tcPr>
            <w:tcW w:type="dxa" w:w="2880"/>
            <w:shd w:val="clear" w:color="auto" w:fill="1F3A5F"/>
            <w:tcMar>
              <w:top w:w="80" w:type="dxa"/>
              <w:bottom w:w="80" w:type="dxa"/>
              <w:left w:w="120" w:type="dxa"/>
              <w:right w:w="120" w:type="dxa"/>
            </w:tcMar>
          </w:tcPr>
          <w:p>
            <w:r/>
            <w:r>
              <w:rPr>
                <w:b/>
                <w:color w:val="FFFFFF"/>
              </w:rPr>
              <w:t>Value</w:t>
            </w:r>
          </w:p>
        </w:tc>
      </w:tr>
      <w:tr>
        <w:tc>
          <w:tcPr>
            <w:tcW w:type="dxa" w:w="5184"/>
            <w:tcMar>
              <w:top w:w="80" w:type="dxa"/>
              <w:bottom w:w="80" w:type="dxa"/>
              <w:left w:w="120" w:type="dxa"/>
              <w:right w:w="120" w:type="dxa"/>
            </w:tcMar>
          </w:tcPr>
          <w:p>
            <w:r/>
            <w:r>
              <w:rPr>
                <w:sz w:val="19"/>
              </w:rPr>
              <w:t>Collections FC</w:t>
            </w:r>
          </w:p>
        </w:tc>
        <w:tc>
          <w:tcPr>
            <w:tcW w:type="dxa" w:w="2880"/>
            <w:tcMar>
              <w:top w:w="80" w:type="dxa"/>
              <w:bottom w:w="80" w:type="dxa"/>
              <w:left w:w="120" w:type="dxa"/>
              <w:right w:w="120" w:type="dxa"/>
            </w:tcMar>
          </w:tcPr>
          <w:p>
            <w:r/>
            <w:r>
              <w:rPr>
                <w:sz w:val="19"/>
              </w:rPr>
              <w:t>(blank)</w:t>
            </w:r>
          </w:p>
        </w:tc>
      </w:tr>
      <w:tr>
        <w:tc>
          <w:tcPr>
            <w:tcW w:type="dxa" w:w="5184"/>
            <w:tcMar>
              <w:top w:w="80" w:type="dxa"/>
              <w:bottom w:w="80" w:type="dxa"/>
              <w:left w:w="120" w:type="dxa"/>
              <w:right w:w="120" w:type="dxa"/>
            </w:tcMar>
          </w:tcPr>
          <w:p>
            <w:r/>
            <w:r>
              <w:rPr>
                <w:sz w:val="19"/>
              </w:rPr>
              <w:t>Expected AR</w:t>
            </w:r>
          </w:p>
        </w:tc>
        <w:tc>
          <w:tcPr>
            <w:tcW w:type="dxa" w:w="2880"/>
            <w:tcMar>
              <w:top w:w="80" w:type="dxa"/>
              <w:bottom w:w="80" w:type="dxa"/>
              <w:left w:w="120" w:type="dxa"/>
              <w:right w:w="120" w:type="dxa"/>
            </w:tcMar>
          </w:tcPr>
          <w:p>
            <w:r/>
            <w:r>
              <w:rPr>
                <w:sz w:val="19"/>
              </w:rPr>
              <w:t>500,000</w:t>
            </w:r>
          </w:p>
        </w:tc>
      </w:tr>
      <w:tr>
        <w:tc>
          <w:tcPr>
            <w:tcW w:type="dxa" w:w="5184"/>
            <w:tcMar>
              <w:top w:w="80" w:type="dxa"/>
              <w:bottom w:w="80" w:type="dxa"/>
              <w:left w:w="120" w:type="dxa"/>
              <w:right w:w="120" w:type="dxa"/>
            </w:tcMar>
          </w:tcPr>
          <w:p>
            <w:r/>
            <w:r>
              <w:rPr>
                <w:sz w:val="19"/>
              </w:rPr>
              <w:t>Provision Effect</w:t>
            </w:r>
          </w:p>
        </w:tc>
        <w:tc>
          <w:tcPr>
            <w:tcW w:type="dxa" w:w="2880"/>
            <w:tcMar>
              <w:top w:w="80" w:type="dxa"/>
              <w:bottom w:w="80" w:type="dxa"/>
              <w:left w:w="120" w:type="dxa"/>
              <w:right w:w="120" w:type="dxa"/>
            </w:tcMar>
          </w:tcPr>
          <w:p>
            <w:r/>
            <w:r>
              <w:rPr>
                <w:sz w:val="19"/>
              </w:rPr>
              <w:t>57,200</w:t>
            </w:r>
          </w:p>
        </w:tc>
      </w:tr>
      <w:tr>
        <w:tc>
          <w:tcPr>
            <w:tcW w:type="dxa" w:w="5184"/>
            <w:tcMar>
              <w:top w:w="80" w:type="dxa"/>
              <w:bottom w:w="80" w:type="dxa"/>
              <w:left w:w="120" w:type="dxa"/>
              <w:right w:w="120" w:type="dxa"/>
            </w:tcMar>
          </w:tcPr>
          <w:p>
            <w:r/>
            <w:r>
              <w:rPr>
                <w:sz w:val="19"/>
              </w:rPr>
              <w:t>AR Provision FC (forecast as of 30 Sep 2026)</w:t>
            </w:r>
          </w:p>
        </w:tc>
        <w:tc>
          <w:tcPr>
            <w:tcW w:type="dxa" w:w="2880"/>
            <w:tcMar>
              <w:top w:w="80" w:type="dxa"/>
              <w:bottom w:w="80" w:type="dxa"/>
              <w:left w:w="120" w:type="dxa"/>
              <w:right w:w="120" w:type="dxa"/>
            </w:tcMar>
          </w:tcPr>
          <w:p>
            <w:r/>
            <w:r>
              <w:rPr>
                <w:sz w:val="19"/>
              </w:rPr>
              <w:t>485,300</w:t>
            </w:r>
          </w:p>
        </w:tc>
      </w:tr>
    </w:tbl>
    <w:p/>
    <w:p>
      <w:pPr>
        <w:pStyle w:val="Heading3"/>
      </w:pPr>
      <w:r>
        <w:t>Q4 - still no further collection forecast entered</w:t>
      </w:r>
    </w:p>
    <w:tbl>
      <w:tblPr>
        <w:tblStyle w:val="LightGrid-Accent1"/>
        <w:tblW w:type="auto" w:w="0"/>
        <w:jc w:val="center"/>
        <w:tblLook w:firstColumn="1" w:firstRow="1" w:lastColumn="0" w:lastRow="0" w:noHBand="0" w:noVBand="1" w:val="04A0"/>
      </w:tblPr>
      <w:tblGrid>
        <w:gridCol w:w="4873"/>
        <w:gridCol w:w="4873"/>
      </w:tblGrid>
      <w:tr>
        <w:tc>
          <w:tcPr>
            <w:tcW w:type="dxa" w:w="5184"/>
            <w:shd w:val="clear" w:color="auto" w:fill="1F3A5F"/>
            <w:tcMar>
              <w:top w:w="80" w:type="dxa"/>
              <w:bottom w:w="80" w:type="dxa"/>
              <w:left w:w="120" w:type="dxa"/>
              <w:right w:w="120" w:type="dxa"/>
            </w:tcMar>
          </w:tcPr>
          <w:p>
            <w:r/>
            <w:r>
              <w:rPr>
                <w:b/>
                <w:color w:val="FFFFFF"/>
              </w:rPr>
              <w:t>Column</w:t>
            </w:r>
          </w:p>
        </w:tc>
        <w:tc>
          <w:tcPr>
            <w:tcW w:type="dxa" w:w="2880"/>
            <w:shd w:val="clear" w:color="auto" w:fill="1F3A5F"/>
            <w:tcMar>
              <w:top w:w="80" w:type="dxa"/>
              <w:bottom w:w="80" w:type="dxa"/>
              <w:left w:w="120" w:type="dxa"/>
              <w:right w:w="120" w:type="dxa"/>
            </w:tcMar>
          </w:tcPr>
          <w:p>
            <w:r/>
            <w:r>
              <w:rPr>
                <w:b/>
                <w:color w:val="FFFFFF"/>
              </w:rPr>
              <w:t>Value</w:t>
            </w:r>
          </w:p>
        </w:tc>
      </w:tr>
      <w:tr>
        <w:tc>
          <w:tcPr>
            <w:tcW w:type="dxa" w:w="5184"/>
            <w:tcMar>
              <w:top w:w="80" w:type="dxa"/>
              <w:bottom w:w="80" w:type="dxa"/>
              <w:left w:w="120" w:type="dxa"/>
              <w:right w:w="120" w:type="dxa"/>
            </w:tcMar>
          </w:tcPr>
          <w:p>
            <w:r/>
            <w:r>
              <w:rPr>
                <w:sz w:val="19"/>
              </w:rPr>
              <w:t>Collections FC</w:t>
            </w:r>
          </w:p>
        </w:tc>
        <w:tc>
          <w:tcPr>
            <w:tcW w:type="dxa" w:w="2880"/>
            <w:tcMar>
              <w:top w:w="80" w:type="dxa"/>
              <w:bottom w:w="80" w:type="dxa"/>
              <w:left w:w="120" w:type="dxa"/>
              <w:right w:w="120" w:type="dxa"/>
            </w:tcMar>
          </w:tcPr>
          <w:p>
            <w:r/>
            <w:r>
              <w:rPr>
                <w:sz w:val="19"/>
              </w:rPr>
              <w:t>(blank)</w:t>
            </w:r>
          </w:p>
        </w:tc>
      </w:tr>
      <w:tr>
        <w:tc>
          <w:tcPr>
            <w:tcW w:type="dxa" w:w="5184"/>
            <w:tcMar>
              <w:top w:w="80" w:type="dxa"/>
              <w:bottom w:w="80" w:type="dxa"/>
              <w:left w:w="120" w:type="dxa"/>
              <w:right w:w="120" w:type="dxa"/>
            </w:tcMar>
          </w:tcPr>
          <w:p>
            <w:r/>
            <w:r>
              <w:rPr>
                <w:sz w:val="19"/>
              </w:rPr>
              <w:t>Expected AR</w:t>
            </w:r>
          </w:p>
        </w:tc>
        <w:tc>
          <w:tcPr>
            <w:tcW w:type="dxa" w:w="2880"/>
            <w:tcMar>
              <w:top w:w="80" w:type="dxa"/>
              <w:bottom w:w="80" w:type="dxa"/>
              <w:left w:w="120" w:type="dxa"/>
              <w:right w:w="120" w:type="dxa"/>
            </w:tcMar>
          </w:tcPr>
          <w:p>
            <w:r/>
            <w:r>
              <w:rPr>
                <w:sz w:val="19"/>
              </w:rPr>
              <w:t>500,000</w:t>
            </w:r>
          </w:p>
        </w:tc>
      </w:tr>
      <w:tr>
        <w:tc>
          <w:tcPr>
            <w:tcW w:type="dxa" w:w="5184"/>
            <w:tcMar>
              <w:top w:w="80" w:type="dxa"/>
              <w:bottom w:w="80" w:type="dxa"/>
              <w:left w:w="120" w:type="dxa"/>
              <w:right w:w="120" w:type="dxa"/>
            </w:tcMar>
          </w:tcPr>
          <w:p>
            <w:r/>
            <w:r>
              <w:rPr>
                <w:sz w:val="19"/>
              </w:rPr>
              <w:t>Provision Effect</w:t>
            </w:r>
          </w:p>
        </w:tc>
        <w:tc>
          <w:tcPr>
            <w:tcW w:type="dxa" w:w="2880"/>
            <w:tcMar>
              <w:top w:w="80" w:type="dxa"/>
              <w:bottom w:w="80" w:type="dxa"/>
              <w:left w:w="120" w:type="dxa"/>
              <w:right w:w="120" w:type="dxa"/>
            </w:tcMar>
          </w:tcPr>
          <w:p>
            <w:r/>
            <w:r>
              <w:rPr>
                <w:sz w:val="19"/>
              </w:rPr>
              <w:t>9,700</w:t>
            </w:r>
          </w:p>
        </w:tc>
      </w:tr>
      <w:tr>
        <w:tc>
          <w:tcPr>
            <w:tcW w:type="dxa" w:w="5184"/>
            <w:tcMar>
              <w:top w:w="80" w:type="dxa"/>
              <w:bottom w:w="80" w:type="dxa"/>
              <w:left w:w="120" w:type="dxa"/>
              <w:right w:w="120" w:type="dxa"/>
            </w:tcMar>
          </w:tcPr>
          <w:p>
            <w:r/>
            <w:r>
              <w:rPr>
                <w:sz w:val="19"/>
              </w:rPr>
              <w:t>AR Provision FC (forecast as of 31 Dec 2026)</w:t>
            </w:r>
          </w:p>
        </w:tc>
        <w:tc>
          <w:tcPr>
            <w:tcW w:type="dxa" w:w="2880"/>
            <w:tcMar>
              <w:top w:w="80" w:type="dxa"/>
              <w:bottom w:w="80" w:type="dxa"/>
              <w:left w:w="120" w:type="dxa"/>
              <w:right w:w="120" w:type="dxa"/>
            </w:tcMar>
          </w:tcPr>
          <w:p>
            <w:r/>
            <w:r>
              <w:rPr>
                <w:sz w:val="19"/>
              </w:rPr>
              <w:t>495,000</w:t>
            </w:r>
          </w:p>
        </w:tc>
      </w:tr>
    </w:tbl>
    <w:p/>
    <w:tbl>
      <w:tblPr>
        <w:tblW w:type="auto" w:w="0"/>
        <w:jc w:val="center"/>
        <w:tblLook w:firstColumn="1" w:firstRow="1" w:lastColumn="0" w:lastRow="0" w:noHBand="0" w:noVBand="1" w:val="04A0"/>
      </w:tblPr>
      <w:tblGrid>
        <w:gridCol w:w="9746"/>
      </w:tblGrid>
      <w:tr>
        <w:tc>
          <w:tcPr>
            <w:tcW w:type="dxa" w:w="9746"/>
            <w:shd w:val="clear" w:color="auto" w:fill="FFF4CE"/>
            <w:tcMar>
              <w:top w:w="140" w:type="dxa"/>
              <w:bottom w:w="140" w:type="dxa"/>
              <w:left w:w="200" w:type="dxa"/>
              <w:right w:w="200" w:type="dxa"/>
            </w:tcMar>
          </w:tcPr>
          <w:p>
            <w:r>
              <w:rPr>
                <w:b/>
              </w:rPr>
              <w:t xml:space="preserve">Read this story out loud:  </w:t>
            </w:r>
            <w:r>
              <w:t>"We collect $60,000 in Q1 and nothing further all year. The remaining $500,000 stays the same dollar amount on paper (nobody paid any more of it), but its provision - our estimate of how much of it is actually a loss - climbs from $346,500 to $428,100 to $485,300 and finally to $495,000. By year end, we are forecasting that essentially the ENTIRE remaining balance ($495,000 of $500,000) is uncollectable, purely because a full year passed with no further payment." This is exactly the automatic-aging-growth idea from section 0.4, now shown across a realistic, full-size customer balance.</w:t>
            </w:r>
          </w:p>
        </w:tc>
      </w:tr>
    </w:tbl>
    <w:p/>
    <w:p>
      <w:pPr>
        <w:pStyle w:val="Heading3"/>
      </w:pPr>
      <w:r>
        <w:t>Adding a real result: typing the Actual Collection for Q1</w:t>
      </w:r>
    </w:p>
    <w:p>
      <w:pPr>
        <w:spacing w:after="120"/>
      </w:pPr>
      <w:r>
        <w:rPr>
          <w:b w:val="0"/>
          <w:i w:val="0"/>
        </w:rPr>
        <w:t>Three months later, the real ERP data shows Q1 actually collected $55,000, not the $60,000 forecast. The credit manager types 55,000 into Q1's Actual Collection cell, and three formulas light up automatically:</w:t>
      </w:r>
    </w:p>
    <w:tbl>
      <w:tblPr>
        <w:tblStyle w:val="LightGrid-Accent1"/>
        <w:tblW w:type="auto" w:w="0"/>
        <w:jc w:val="center"/>
        <w:tblLook w:firstColumn="1" w:firstRow="1" w:lastColumn="0" w:lastRow="0" w:noHBand="0" w:noVBand="1" w:val="04A0"/>
      </w:tblPr>
      <w:tblGrid>
        <w:gridCol w:w="3249"/>
        <w:gridCol w:w="3249"/>
        <w:gridCol w:w="3249"/>
      </w:tblGrid>
      <w:tr>
        <w:tc>
          <w:tcPr>
            <w:tcW w:type="dxa" w:w="3312"/>
            <w:shd w:val="clear" w:color="auto" w:fill="1F3A5F"/>
            <w:tcMar>
              <w:top w:w="80" w:type="dxa"/>
              <w:bottom w:w="80" w:type="dxa"/>
              <w:left w:w="120" w:type="dxa"/>
              <w:right w:w="120" w:type="dxa"/>
            </w:tcMar>
          </w:tcPr>
          <w:p>
            <w:r/>
            <w:r>
              <w:rPr>
                <w:b/>
                <w:color w:val="FFFFFF"/>
              </w:rPr>
              <w:t>Column</w:t>
            </w:r>
          </w:p>
        </w:tc>
        <w:tc>
          <w:tcPr>
            <w:tcW w:type="dxa" w:w="1728"/>
            <w:shd w:val="clear" w:color="auto" w:fill="1F3A5F"/>
            <w:tcMar>
              <w:top w:w="80" w:type="dxa"/>
              <w:bottom w:w="80" w:type="dxa"/>
              <w:left w:w="120" w:type="dxa"/>
              <w:right w:w="120" w:type="dxa"/>
            </w:tcMar>
          </w:tcPr>
          <w:p>
            <w:r/>
            <w:r>
              <w:rPr>
                <w:b/>
                <w:color w:val="FFFFFF"/>
              </w:rPr>
              <w:t>Value</w:t>
            </w:r>
          </w:p>
        </w:tc>
        <w:tc>
          <w:tcPr>
            <w:tcW w:type="dxa" w:w="4176"/>
            <w:shd w:val="clear" w:color="auto" w:fill="1F3A5F"/>
            <w:tcMar>
              <w:top w:w="80" w:type="dxa"/>
              <w:bottom w:w="80" w:type="dxa"/>
              <w:left w:w="120" w:type="dxa"/>
              <w:right w:w="120" w:type="dxa"/>
            </w:tcMar>
          </w:tcPr>
          <w:p>
            <w:r/>
            <w:r>
              <w:rPr>
                <w:b/>
                <w:color w:val="FFFFFF"/>
              </w:rPr>
              <w:t>Meaning</w:t>
            </w:r>
          </w:p>
        </w:tc>
      </w:tr>
      <w:tr>
        <w:tc>
          <w:tcPr>
            <w:tcW w:type="dxa" w:w="3312"/>
            <w:tcMar>
              <w:top w:w="80" w:type="dxa"/>
              <w:bottom w:w="80" w:type="dxa"/>
              <w:left w:w="120" w:type="dxa"/>
              <w:right w:w="120" w:type="dxa"/>
            </w:tcMar>
          </w:tcPr>
          <w:p>
            <w:r/>
            <w:r>
              <w:rPr>
                <w:sz w:val="19"/>
              </w:rPr>
              <w:t>Actual Collection</w:t>
            </w:r>
          </w:p>
        </w:tc>
        <w:tc>
          <w:tcPr>
            <w:tcW w:type="dxa" w:w="1728"/>
            <w:tcMar>
              <w:top w:w="80" w:type="dxa"/>
              <w:bottom w:w="80" w:type="dxa"/>
              <w:left w:w="120" w:type="dxa"/>
              <w:right w:w="120" w:type="dxa"/>
            </w:tcMar>
          </w:tcPr>
          <w:p>
            <w:r/>
            <w:r>
              <w:rPr>
                <w:sz w:val="19"/>
              </w:rPr>
              <w:t>55,000</w:t>
            </w:r>
          </w:p>
        </w:tc>
        <w:tc>
          <w:tcPr>
            <w:tcW w:type="dxa" w:w="4176"/>
            <w:tcMar>
              <w:top w:w="80" w:type="dxa"/>
              <w:bottom w:w="80" w:type="dxa"/>
              <w:left w:w="120" w:type="dxa"/>
              <w:right w:w="120" w:type="dxa"/>
            </w:tcMar>
          </w:tcPr>
          <w:p>
            <w:r/>
            <w:r>
              <w:rPr>
                <w:sz w:val="19"/>
              </w:rPr>
              <w:t>(typed by the manager)</w:t>
            </w:r>
          </w:p>
        </w:tc>
      </w:tr>
      <w:tr>
        <w:tc>
          <w:tcPr>
            <w:tcW w:type="dxa" w:w="3312"/>
            <w:tcMar>
              <w:top w:w="80" w:type="dxa"/>
              <w:bottom w:w="80" w:type="dxa"/>
              <w:left w:w="120" w:type="dxa"/>
              <w:right w:w="120" w:type="dxa"/>
            </w:tcMar>
          </w:tcPr>
          <w:p>
            <w:r/>
            <w:r>
              <w:rPr>
                <w:sz w:val="19"/>
              </w:rPr>
              <w:t>Expected AR - Actual</w:t>
            </w:r>
          </w:p>
        </w:tc>
        <w:tc>
          <w:tcPr>
            <w:tcW w:type="dxa" w:w="1728"/>
            <w:tcMar>
              <w:top w:w="80" w:type="dxa"/>
              <w:bottom w:w="80" w:type="dxa"/>
              <w:left w:w="120" w:type="dxa"/>
              <w:right w:w="120" w:type="dxa"/>
            </w:tcMar>
          </w:tcPr>
          <w:p>
            <w:r/>
            <w:r>
              <w:rPr>
                <w:sz w:val="19"/>
              </w:rPr>
              <w:t>505,000</w:t>
            </w:r>
          </w:p>
        </w:tc>
        <w:tc>
          <w:tcPr>
            <w:tcW w:type="dxa" w:w="4176"/>
            <w:tcMar>
              <w:top w:w="80" w:type="dxa"/>
              <w:bottom w:w="80" w:type="dxa"/>
              <w:left w:w="120" w:type="dxa"/>
              <w:right w:w="120" w:type="dxa"/>
            </w:tcMar>
          </w:tcPr>
          <w:p>
            <w:r/>
            <w:r>
              <w:rPr>
                <w:sz w:val="19"/>
              </w:rPr>
              <w:t>Balance after the REAL collection (560,000 - 55,000) - 5,000 higher than the 500,000 forecast, since 5,000 less was actually collected</w:t>
            </w:r>
          </w:p>
        </w:tc>
      </w:tr>
      <w:tr>
        <w:tc>
          <w:tcPr>
            <w:tcW w:type="dxa" w:w="3312"/>
            <w:tcMar>
              <w:top w:w="80" w:type="dxa"/>
              <w:bottom w:w="80" w:type="dxa"/>
              <w:left w:w="120" w:type="dxa"/>
              <w:right w:w="120" w:type="dxa"/>
            </w:tcMar>
          </w:tcPr>
          <w:p>
            <w:r/>
            <w:r>
              <w:rPr>
                <w:sz w:val="19"/>
              </w:rPr>
              <w:t>Actual AR Provision</w:t>
            </w:r>
          </w:p>
        </w:tc>
        <w:tc>
          <w:tcPr>
            <w:tcW w:type="dxa" w:w="1728"/>
            <w:tcMar>
              <w:top w:w="80" w:type="dxa"/>
              <w:bottom w:w="80" w:type="dxa"/>
              <w:left w:w="120" w:type="dxa"/>
              <w:right w:w="120" w:type="dxa"/>
            </w:tcMar>
          </w:tcPr>
          <w:p>
            <w:r/>
            <w:r>
              <w:rPr>
                <w:sz w:val="19"/>
              </w:rPr>
              <w:t>351,500</w:t>
            </w:r>
          </w:p>
        </w:tc>
        <w:tc>
          <w:tcPr>
            <w:tcW w:type="dxa" w:w="4176"/>
            <w:tcMar>
              <w:top w:w="80" w:type="dxa"/>
              <w:bottom w:w="80" w:type="dxa"/>
              <w:left w:w="120" w:type="dxa"/>
              <w:right w:w="120" w:type="dxa"/>
            </w:tcMar>
          </w:tcPr>
          <w:p>
            <w:r/>
            <w:r>
              <w:rPr>
                <w:sz w:val="19"/>
              </w:rPr>
              <w:t>Provision recalculated using the real collection instead of the forecast</w:t>
            </w:r>
          </w:p>
        </w:tc>
      </w:tr>
      <w:tr>
        <w:tc>
          <w:tcPr>
            <w:tcW w:type="dxa" w:w="3312"/>
            <w:tcMar>
              <w:top w:w="80" w:type="dxa"/>
              <w:bottom w:w="80" w:type="dxa"/>
              <w:left w:w="120" w:type="dxa"/>
              <w:right w:w="120" w:type="dxa"/>
            </w:tcMar>
          </w:tcPr>
          <w:p>
            <w:r/>
            <w:r>
              <w:rPr>
                <w:sz w:val="19"/>
              </w:rPr>
              <w:t>Variance Actual vs Forecast</w:t>
            </w:r>
          </w:p>
        </w:tc>
        <w:tc>
          <w:tcPr>
            <w:tcW w:type="dxa" w:w="1728"/>
            <w:tcMar>
              <w:top w:w="80" w:type="dxa"/>
              <w:bottom w:w="80" w:type="dxa"/>
              <w:left w:w="120" w:type="dxa"/>
              <w:right w:w="120" w:type="dxa"/>
            </w:tcMar>
          </w:tcPr>
          <w:p>
            <w:r/>
            <w:r>
              <w:rPr>
                <w:sz w:val="19"/>
              </w:rPr>
              <w:t>5,000</w:t>
            </w:r>
          </w:p>
        </w:tc>
        <w:tc>
          <w:tcPr>
            <w:tcW w:type="dxa" w:w="4176"/>
            <w:tcMar>
              <w:top w:w="80" w:type="dxa"/>
              <w:bottom w:w="80" w:type="dxa"/>
              <w:left w:w="120" w:type="dxa"/>
              <w:right w:w="120" w:type="dxa"/>
            </w:tcMar>
          </w:tcPr>
          <w:p>
            <w:r/>
            <w:r>
              <w:rPr>
                <w:sz w:val="19"/>
              </w:rPr>
              <w:t>351,500 minus the 346,500 forecast - collecting $5,000 less than planned cost an extra $5,000 of provision</w:t>
            </w:r>
          </w:p>
        </w:tc>
      </w:tr>
    </w:tbl>
    <w:p/>
    <w:p>
      <w:pPr>
        <w:spacing w:after="120"/>
      </w:pPr>
      <w:r>
        <w:rPr>
          <w:b w:val="0"/>
          <w:i w:val="0"/>
        </w:rPr>
        <w:t>Until that Actual Collection cell is typed, all three of these columns stay blank - not zero - specifically so a blank cell never gets misread as "we collected nothing."</w:t>
      </w:r>
    </w:p>
    <w:p>
      <w:r>
        <w:br w:type="page"/>
      </w:r>
    </w:p>
    <w:p>
      <w:pPr>
        <w:pStyle w:val="Heading2"/>
      </w:pPr>
      <w:r>
        <w:t>2.12 Specific Allocation vs FIFO - a real gotcha, verified</w:t>
      </w:r>
    </w:p>
    <w:p>
      <w:pPr>
        <w:spacing w:after="120"/>
      </w:pPr>
      <w:r>
        <w:rPr>
          <w:b w:val="0"/>
          <w:i w:val="0"/>
        </w:rPr>
        <w:t>Take Al Noor Trading's exact Q1 starting position again, but this time the manager uses Specific Allocation instead of Collections FC: they specifically allocate $60,000 against the &gt;=151 bucket (Specific Alloc &gt;=151 = 60,000), leaving Collections FC blank.</w:t>
      </w:r>
    </w:p>
    <w:tbl>
      <w:tblPr>
        <w:tblStyle w:val="LightGrid-Accent1"/>
        <w:tblW w:type="auto" w:w="0"/>
        <w:jc w:val="center"/>
        <w:tblLook w:firstColumn="1" w:firstRow="1" w:lastColumn="0" w:lastRow="0" w:noHBand="0" w:noVBand="1" w:val="04A0"/>
      </w:tblPr>
      <w:tblGrid>
        <w:gridCol w:w="3249"/>
        <w:gridCol w:w="3249"/>
        <w:gridCol w:w="3249"/>
      </w:tblGrid>
      <w:tr>
        <w:tc>
          <w:tcPr>
            <w:tcW w:type="dxa" w:w="3744"/>
            <w:shd w:val="clear" w:color="auto" w:fill="1F3A5F"/>
            <w:tcMar>
              <w:top w:w="80" w:type="dxa"/>
              <w:bottom w:w="80" w:type="dxa"/>
              <w:left w:w="120" w:type="dxa"/>
              <w:right w:w="120" w:type="dxa"/>
            </w:tcMar>
          </w:tcPr>
          <w:p>
            <w:r/>
            <w:r>
              <w:rPr>
                <w:b/>
                <w:color w:val="FFFFFF"/>
              </w:rPr>
              <w:t>Column</w:t>
            </w:r>
          </w:p>
        </w:tc>
        <w:tc>
          <w:tcPr>
            <w:tcW w:type="dxa" w:w="2736"/>
            <w:shd w:val="clear" w:color="auto" w:fill="1F3A5F"/>
            <w:tcMar>
              <w:top w:w="80" w:type="dxa"/>
              <w:bottom w:w="80" w:type="dxa"/>
              <w:left w:w="120" w:type="dxa"/>
              <w:right w:w="120" w:type="dxa"/>
            </w:tcMar>
          </w:tcPr>
          <w:p>
            <w:r/>
            <w:r>
              <w:rPr>
                <w:b/>
                <w:color w:val="FFFFFF"/>
              </w:rPr>
              <w:t>FIFO version (section 2.11)</w:t>
            </w:r>
          </w:p>
        </w:tc>
        <w:tc>
          <w:tcPr>
            <w:tcW w:type="dxa" w:w="2880"/>
            <w:shd w:val="clear" w:color="auto" w:fill="1F3A5F"/>
            <w:tcMar>
              <w:top w:w="80" w:type="dxa"/>
              <w:bottom w:w="80" w:type="dxa"/>
              <w:left w:w="120" w:type="dxa"/>
              <w:right w:w="120" w:type="dxa"/>
            </w:tcMar>
          </w:tcPr>
          <w:p>
            <w:r/>
            <w:r>
              <w:rPr>
                <w:b/>
                <w:color w:val="FFFFFF"/>
              </w:rPr>
              <w:t>Specific Allocation version</w:t>
            </w:r>
          </w:p>
        </w:tc>
      </w:tr>
      <w:tr>
        <w:tc>
          <w:tcPr>
            <w:tcW w:type="dxa" w:w="3744"/>
            <w:tcMar>
              <w:top w:w="80" w:type="dxa"/>
              <w:bottom w:w="80" w:type="dxa"/>
              <w:left w:w="120" w:type="dxa"/>
              <w:right w:w="120" w:type="dxa"/>
            </w:tcMar>
          </w:tcPr>
          <w:p>
            <w:r/>
            <w:r>
              <w:rPr>
                <w:sz w:val="19"/>
              </w:rPr>
              <w:t>Expected AR (Q1)</w:t>
            </w:r>
          </w:p>
        </w:tc>
        <w:tc>
          <w:tcPr>
            <w:tcW w:type="dxa" w:w="2736"/>
            <w:tcMar>
              <w:top w:w="80" w:type="dxa"/>
              <w:bottom w:w="80" w:type="dxa"/>
              <w:left w:w="120" w:type="dxa"/>
              <w:right w:w="120" w:type="dxa"/>
            </w:tcMar>
          </w:tcPr>
          <w:p>
            <w:r/>
            <w:r>
              <w:rPr>
                <w:sz w:val="19"/>
              </w:rPr>
              <w:t>500,000</w:t>
            </w:r>
          </w:p>
        </w:tc>
        <w:tc>
          <w:tcPr>
            <w:tcW w:type="dxa" w:w="2880"/>
            <w:tcMar>
              <w:top w:w="80" w:type="dxa"/>
              <w:bottom w:w="80" w:type="dxa"/>
              <w:left w:w="120" w:type="dxa"/>
              <w:right w:w="120" w:type="dxa"/>
            </w:tcMar>
          </w:tcPr>
          <w:p>
            <w:r/>
            <w:r>
              <w:rPr>
                <w:sz w:val="19"/>
              </w:rPr>
              <w:t>500,000  (identical, since both methods hit the same bucket for the same amount)</w:t>
            </w:r>
          </w:p>
        </w:tc>
      </w:tr>
      <w:tr>
        <w:tc>
          <w:tcPr>
            <w:tcW w:type="dxa" w:w="3744"/>
            <w:tcMar>
              <w:top w:w="80" w:type="dxa"/>
              <w:bottom w:w="80" w:type="dxa"/>
              <w:left w:w="120" w:type="dxa"/>
              <w:right w:w="120" w:type="dxa"/>
            </w:tcMar>
          </w:tcPr>
          <w:p>
            <w:r/>
            <w:r>
              <w:rPr>
                <w:sz w:val="19"/>
              </w:rPr>
              <w:t>AR Provision FC (Q1)</w:t>
            </w:r>
          </w:p>
        </w:tc>
        <w:tc>
          <w:tcPr>
            <w:tcW w:type="dxa" w:w="2736"/>
            <w:tcMar>
              <w:top w:w="80" w:type="dxa"/>
              <w:bottom w:w="80" w:type="dxa"/>
              <w:left w:w="120" w:type="dxa"/>
              <w:right w:w="120" w:type="dxa"/>
            </w:tcMar>
          </w:tcPr>
          <w:p>
            <w:r/>
            <w:r>
              <w:rPr>
                <w:sz w:val="19"/>
              </w:rPr>
              <w:t>346,500</w:t>
            </w:r>
          </w:p>
        </w:tc>
        <w:tc>
          <w:tcPr>
            <w:tcW w:type="dxa" w:w="2880"/>
            <w:tcMar>
              <w:top w:w="80" w:type="dxa"/>
              <w:bottom w:w="80" w:type="dxa"/>
              <w:left w:w="120" w:type="dxa"/>
              <w:right w:w="120" w:type="dxa"/>
            </w:tcMar>
          </w:tcPr>
          <w:p>
            <w:r/>
            <w:r>
              <w:rPr>
                <w:sz w:val="19"/>
              </w:rPr>
              <w:t>346,500  (identical, for the same reason)</w:t>
            </w:r>
          </w:p>
        </w:tc>
      </w:tr>
      <w:tr>
        <w:tc>
          <w:tcPr>
            <w:tcW w:type="dxa" w:w="3744"/>
            <w:tcMar>
              <w:top w:w="80" w:type="dxa"/>
              <w:bottom w:w="80" w:type="dxa"/>
              <w:left w:w="120" w:type="dxa"/>
              <w:right w:w="120" w:type="dxa"/>
            </w:tcMar>
          </w:tcPr>
          <w:p>
            <w:r/>
            <w:r>
              <w:rPr>
                <w:sz w:val="19"/>
              </w:rPr>
              <w:t>Provision Effect (Q1)</w:t>
            </w:r>
          </w:p>
        </w:tc>
        <w:tc>
          <w:tcPr>
            <w:tcW w:type="dxa" w:w="2736"/>
            <w:tcMar>
              <w:top w:w="80" w:type="dxa"/>
              <w:bottom w:w="80" w:type="dxa"/>
              <w:left w:w="120" w:type="dxa"/>
              <w:right w:w="120" w:type="dxa"/>
            </w:tcMar>
          </w:tcPr>
          <w:p>
            <w:r/>
            <w:r>
              <w:rPr>
                <w:sz w:val="19"/>
              </w:rPr>
              <w:t>189,300</w:t>
            </w:r>
          </w:p>
        </w:tc>
        <w:tc>
          <w:tcPr>
            <w:tcW w:type="dxa" w:w="2880"/>
            <w:tcMar>
              <w:top w:w="80" w:type="dxa"/>
              <w:bottom w:w="80" w:type="dxa"/>
              <w:left w:w="120" w:type="dxa"/>
              <w:right w:w="120" w:type="dxa"/>
            </w:tcMar>
          </w:tcPr>
          <w:p>
            <w:r/>
            <w:r>
              <w:rPr>
                <w:sz w:val="19"/>
              </w:rPr>
              <w:t>129,300  (DIFFERENT - see below)</w:t>
            </w:r>
          </w:p>
        </w:tc>
      </w:tr>
      <w:tr>
        <w:tc>
          <w:tcPr>
            <w:tcW w:type="dxa" w:w="3744"/>
            <w:tcMar>
              <w:top w:w="80" w:type="dxa"/>
              <w:bottom w:w="80" w:type="dxa"/>
              <w:left w:w="120" w:type="dxa"/>
              <w:right w:w="120" w:type="dxa"/>
            </w:tcMar>
          </w:tcPr>
          <w:p>
            <w:r/>
            <w:r>
              <w:rPr>
                <w:sz w:val="19"/>
              </w:rPr>
              <w:t>Provision after collection incl. Insurance/BG/LC (base column)</w:t>
            </w:r>
          </w:p>
        </w:tc>
        <w:tc>
          <w:tcPr>
            <w:tcW w:type="dxa" w:w="2736"/>
            <w:tcMar>
              <w:top w:w="80" w:type="dxa"/>
              <w:bottom w:w="80" w:type="dxa"/>
              <w:left w:w="120" w:type="dxa"/>
              <w:right w:w="120" w:type="dxa"/>
            </w:tcMar>
          </w:tcPr>
          <w:p>
            <w:r/>
            <w:r>
              <w:rPr>
                <w:sz w:val="19"/>
              </w:rPr>
              <w:t>157,200</w:t>
            </w:r>
          </w:p>
        </w:tc>
        <w:tc>
          <w:tcPr>
            <w:tcW w:type="dxa" w:w="2880"/>
            <w:tcMar>
              <w:top w:w="80" w:type="dxa"/>
              <w:bottom w:w="80" w:type="dxa"/>
              <w:left w:w="120" w:type="dxa"/>
              <w:right w:w="120" w:type="dxa"/>
            </w:tcMar>
          </w:tcPr>
          <w:p>
            <w:r/>
            <w:r>
              <w:rPr>
                <w:sz w:val="19"/>
              </w:rPr>
              <w:t>217,200 - UNCHANGED from the no-collection baseline</w:t>
            </w:r>
          </w:p>
        </w:tc>
      </w:tr>
    </w:tbl>
    <w:p/>
    <w:tbl>
      <w:tblPr>
        <w:tblW w:type="auto" w:w="0"/>
        <w:jc w:val="center"/>
        <w:tblLook w:firstColumn="1" w:firstRow="1" w:lastColumn="0" w:lastRow="0" w:noHBand="0" w:noVBand="1" w:val="04A0"/>
      </w:tblPr>
      <w:tblGrid>
        <w:gridCol w:w="9746"/>
      </w:tblGrid>
      <w:tr>
        <w:tc>
          <w:tcPr>
            <w:tcW w:type="dxa" w:w="9746"/>
            <w:shd w:val="clear" w:color="auto" w:fill="FBE1E1"/>
            <w:tcMar>
              <w:top w:w="140" w:type="dxa"/>
              <w:bottom w:w="140" w:type="dxa"/>
              <w:left w:w="200" w:type="dxa"/>
              <w:right w:w="200" w:type="dxa"/>
            </w:tcMar>
          </w:tcPr>
          <w:p>
            <w:r>
              <w:rPr>
                <w:b/>
              </w:rPr>
              <w:t xml:space="preserve">The gotcha, verified in Excel:  </w:t>
            </w:r>
            <w:r>
              <w:t>The base columns ("Provision after collection" and "...including Insurance/BG/LC") only ever look at the Collections FC (FIFO) cell - they are blind to Specific Allocation entries. If a manager uses Specific Allocation exclusively for a customer, that base snapshot column will look unchanged from the no-collection baseline, even though the quarter block's own Provision Effect and AR Provision FC correctly account for the allocation. Don't read the base columns as "the current state of collections" if Specific Allocation is in use for that row - check the quarter block instead.</w:t>
            </w:r>
          </w:p>
        </w:tc>
      </w:tr>
    </w:tbl>
    <w:p/>
    <w:p>
      <w:pPr>
        <w:spacing w:after="120"/>
      </w:pPr>
      <w:r>
        <w:rPr>
          <w:b w:val="0"/>
          <w:i w:val="0"/>
        </w:rPr>
        <w:t>Specific Allocation and FIFO only give genuinely different downstream results when the manager targets a DIFFERENT bucket than the oldest one - for example, allocating a payment to the 31-60 bucket while an even older &gt;=151 balance sits untouched. FIFO would have hit the &gt;=151 bucket first; a Specific Allocation into 31-60 leaves that riskier, older balance exactly where it was, which raises the provision compared to the FIFO assumption.</w:t>
      </w:r>
    </w:p>
    <w:p>
      <w:pPr>
        <w:spacing w:after="120"/>
      </w:pPr>
      <w:r>
        <w:rPr>
          <w:b w:val="0"/>
          <w:i w:val="0"/>
        </w:rPr>
        <w:t>The workbook prevents you from mixing both for the same customer and quarter: if any Specific Alloc cell already has a value, Excel blocks typing into that quarter's Collections FC cell (and vice versa), with a warning: "Specific allocations already exist for this row/quarter" / "FIFO collection already exists for this row/quarter."</w:t>
      </w:r>
    </w:p>
    <w:p>
      <w:pPr>
        <w:pStyle w:val="Heading2"/>
      </w:pPr>
      <w:r>
        <w:t>2.13 What happens for accounts that aren't 12301</w:t>
      </w:r>
    </w:p>
    <w:p>
      <w:pPr>
        <w:spacing w:after="120"/>
      </w:pPr>
      <w:r>
        <w:rPr>
          <w:b w:val="0"/>
          <w:i w:val="0"/>
        </w:rPr>
        <w:t>Section 0.8 introduced the rule: only Main Account 12301 gets provisioned. Verified example - take a $20,000 balance in the &gt;=151 bucket (which would normally provision at 100%, i.e. $20,000), but book it under Main Account 12305 instead of 12301:</w:t>
      </w:r>
    </w:p>
    <w:tbl>
      <w:tblPr>
        <w:tblStyle w:val="LightGrid-Accent1"/>
        <w:tblW w:type="auto" w:w="0"/>
        <w:jc w:val="center"/>
        <w:tblLook w:firstColumn="1" w:firstRow="1" w:lastColumn="0" w:lastRow="0" w:noHBand="0" w:noVBand="1" w:val="04A0"/>
      </w:tblPr>
      <w:tblGrid>
        <w:gridCol w:w="4873"/>
        <w:gridCol w:w="4873"/>
      </w:tblGrid>
      <w:tr>
        <w:tc>
          <w:tcPr>
            <w:tcW w:type="dxa" w:w="5184"/>
            <w:shd w:val="clear" w:color="auto" w:fill="1F3A5F"/>
            <w:tcMar>
              <w:top w:w="80" w:type="dxa"/>
              <w:bottom w:w="80" w:type="dxa"/>
              <w:left w:w="120" w:type="dxa"/>
              <w:right w:w="120" w:type="dxa"/>
            </w:tcMar>
          </w:tcPr>
          <w:p>
            <w:r/>
            <w:r>
              <w:rPr>
                <w:b/>
                <w:color w:val="FFFFFF"/>
              </w:rPr>
              <w:t>Column</w:t>
            </w:r>
          </w:p>
        </w:tc>
        <w:tc>
          <w:tcPr>
            <w:tcW w:type="dxa" w:w="2880"/>
            <w:shd w:val="clear" w:color="auto" w:fill="1F3A5F"/>
            <w:tcMar>
              <w:top w:w="80" w:type="dxa"/>
              <w:bottom w:w="80" w:type="dxa"/>
              <w:left w:w="120" w:type="dxa"/>
              <w:right w:w="120" w:type="dxa"/>
            </w:tcMar>
          </w:tcPr>
          <w:p>
            <w:r/>
            <w:r>
              <w:rPr>
                <w:b/>
                <w:color w:val="FFFFFF"/>
              </w:rPr>
              <w:t>Value</w:t>
            </w:r>
          </w:p>
        </w:tc>
      </w:tr>
      <w:tr>
        <w:tc>
          <w:tcPr>
            <w:tcW w:type="dxa" w:w="5184"/>
            <w:tcMar>
              <w:top w:w="80" w:type="dxa"/>
              <w:bottom w:w="80" w:type="dxa"/>
              <w:left w:w="120" w:type="dxa"/>
              <w:right w:w="120" w:type="dxa"/>
            </w:tcMar>
          </w:tcPr>
          <w:p>
            <w:r/>
            <w:r>
              <w:rPr>
                <w:sz w:val="19"/>
              </w:rPr>
              <w:t>Provision without any collection</w:t>
            </w:r>
          </w:p>
        </w:tc>
        <w:tc>
          <w:tcPr>
            <w:tcW w:type="dxa" w:w="2880"/>
            <w:tcMar>
              <w:top w:w="80" w:type="dxa"/>
              <w:bottom w:w="80" w:type="dxa"/>
              <w:left w:w="120" w:type="dxa"/>
              <w:right w:w="120" w:type="dxa"/>
            </w:tcMar>
          </w:tcPr>
          <w:p>
            <w:r/>
            <w:r>
              <w:rPr>
                <w:sz w:val="19"/>
              </w:rPr>
              <w:t>0</w:t>
            </w:r>
          </w:p>
        </w:tc>
      </w:tr>
      <w:tr>
        <w:tc>
          <w:tcPr>
            <w:tcW w:type="dxa" w:w="5184"/>
            <w:tcMar>
              <w:top w:w="80" w:type="dxa"/>
              <w:bottom w:w="80" w:type="dxa"/>
              <w:left w:w="120" w:type="dxa"/>
              <w:right w:w="120" w:type="dxa"/>
            </w:tcMar>
          </w:tcPr>
          <w:p>
            <w:r/>
            <w:r>
              <w:rPr>
                <w:sz w:val="19"/>
              </w:rPr>
              <w:t>Provision after collection incl. Insurance/BG/LC</w:t>
            </w:r>
          </w:p>
        </w:tc>
        <w:tc>
          <w:tcPr>
            <w:tcW w:type="dxa" w:w="2880"/>
            <w:tcMar>
              <w:top w:w="80" w:type="dxa"/>
              <w:bottom w:w="80" w:type="dxa"/>
              <w:left w:w="120" w:type="dxa"/>
              <w:right w:w="120" w:type="dxa"/>
            </w:tcMar>
          </w:tcPr>
          <w:p>
            <w:r/>
            <w:r>
              <w:rPr>
                <w:sz w:val="19"/>
              </w:rPr>
              <w:t>0</w:t>
            </w:r>
          </w:p>
        </w:tc>
      </w:tr>
      <w:tr>
        <w:tc>
          <w:tcPr>
            <w:tcW w:type="dxa" w:w="5184"/>
            <w:tcMar>
              <w:top w:w="80" w:type="dxa"/>
              <w:bottom w:w="80" w:type="dxa"/>
              <w:left w:w="120" w:type="dxa"/>
              <w:right w:w="120" w:type="dxa"/>
            </w:tcMar>
          </w:tcPr>
          <w:p>
            <w:r/>
            <w:r>
              <w:rPr>
                <w:sz w:val="19"/>
              </w:rPr>
              <w:t>AR Provision FC (any quarter)</w:t>
            </w:r>
          </w:p>
        </w:tc>
        <w:tc>
          <w:tcPr>
            <w:tcW w:type="dxa" w:w="2880"/>
            <w:tcMar>
              <w:top w:w="80" w:type="dxa"/>
              <w:bottom w:w="80" w:type="dxa"/>
              <w:left w:w="120" w:type="dxa"/>
              <w:right w:w="120" w:type="dxa"/>
            </w:tcMar>
          </w:tcPr>
          <w:p>
            <w:r/>
            <w:r>
              <w:rPr>
                <w:sz w:val="19"/>
              </w:rPr>
              <w:t>0</w:t>
            </w:r>
          </w:p>
        </w:tc>
      </w:tr>
    </w:tbl>
    <w:p/>
    <w:p>
      <w:pPr>
        <w:spacing w:after="120"/>
      </w:pPr>
      <w:r>
        <w:rPr>
          <w:b w:val="0"/>
          <w:i w:val="0"/>
        </w:rPr>
        <w:t>The full $20,000 balance is still visible in the aging-bucket columns for review - it simply never generates a provision number, by deliberate business rule, no matter how old it is or which quarter you look at.</w:t>
      </w:r>
    </w:p>
    <w:p>
      <w:pPr>
        <w:pStyle w:val="Heading2"/>
      </w:pPr>
      <w:r>
        <w:t>2.14 Errors and warnings</w:t>
      </w:r>
    </w:p>
    <w:tbl>
      <w:tblPr>
        <w:tblStyle w:val="LightGrid-Accent1"/>
        <w:tblW w:type="auto" w:w="0"/>
        <w:jc w:val="center"/>
        <w:tblLook w:firstColumn="1" w:firstRow="1" w:lastColumn="0" w:lastRow="0" w:noHBand="0" w:noVBand="1" w:val="04A0"/>
      </w:tblPr>
      <w:tblGrid>
        <w:gridCol w:w="4873"/>
        <w:gridCol w:w="4873"/>
      </w:tblGrid>
      <w:tr>
        <w:tc>
          <w:tcPr>
            <w:tcW w:type="dxa" w:w="4320"/>
            <w:shd w:val="clear" w:color="auto" w:fill="1F3A5F"/>
            <w:tcMar>
              <w:top w:w="80" w:type="dxa"/>
              <w:bottom w:w="80" w:type="dxa"/>
              <w:left w:w="120" w:type="dxa"/>
              <w:right w:w="120" w:type="dxa"/>
            </w:tcMar>
          </w:tcPr>
          <w:p>
            <w:r/>
            <w:r>
              <w:rPr>
                <w:b/>
                <w:color w:val="FFFFFF"/>
              </w:rPr>
              <w:t>Message / situation</w:t>
            </w:r>
          </w:p>
        </w:tc>
        <w:tc>
          <w:tcPr>
            <w:tcW w:type="dxa" w:w="5184"/>
            <w:shd w:val="clear" w:color="auto" w:fill="1F3A5F"/>
            <w:tcMar>
              <w:top w:w="80" w:type="dxa"/>
              <w:bottom w:w="80" w:type="dxa"/>
              <w:left w:w="120" w:type="dxa"/>
              <w:right w:w="120" w:type="dxa"/>
            </w:tcMar>
          </w:tcPr>
          <w:p>
            <w:r/>
            <w:r>
              <w:rPr>
                <w:b/>
                <w:color w:val="FFFFFF"/>
              </w:rPr>
              <w:t>Meaning</w:t>
            </w:r>
          </w:p>
        </w:tc>
      </w:tr>
      <w:tr>
        <w:tc>
          <w:tcPr>
            <w:tcW w:type="dxa" w:w="4320"/>
            <w:tcMar>
              <w:top w:w="80" w:type="dxa"/>
              <w:bottom w:w="80" w:type="dxa"/>
              <w:left w:w="120" w:type="dxa"/>
              <w:right w:w="120" w:type="dxa"/>
            </w:tcMar>
          </w:tcPr>
          <w:p>
            <w:r/>
            <w:r>
              <w:rPr>
                <w:sz w:val="19"/>
              </w:rPr>
              <w:t>"The By_Customer sheet has no 'Not Due 0-30 / 31-60 / ...' columns..."</w:t>
            </w:r>
          </w:p>
        </w:tc>
        <w:tc>
          <w:tcPr>
            <w:tcW w:type="dxa" w:w="5184"/>
            <w:tcMar>
              <w:top w:w="80" w:type="dxa"/>
              <w:bottom w:w="80" w:type="dxa"/>
              <w:left w:w="120" w:type="dxa"/>
              <w:right w:w="120" w:type="dxa"/>
            </w:tcMar>
          </w:tcPr>
          <w:p>
            <w:r/>
            <w:r>
              <w:rPr>
                <w:sz w:val="19"/>
              </w:rPr>
              <w:t>The uploaded file was made with an older version of Tool 1 that doesn't produce the Not Due breakdown. The tool falls back to putting the whole Not Due amount in the 0-30 sub-bucket and warns you - regenerate the file with the current Tool 1 for an accurate breakdown.</w:t>
            </w:r>
          </w:p>
        </w:tc>
      </w:tr>
      <w:tr>
        <w:tc>
          <w:tcPr>
            <w:tcW w:type="dxa" w:w="4320"/>
            <w:tcMar>
              <w:top w:w="80" w:type="dxa"/>
              <w:bottom w:w="80" w:type="dxa"/>
              <w:left w:w="120" w:type="dxa"/>
              <w:right w:w="120" w:type="dxa"/>
            </w:tcMar>
          </w:tcPr>
          <w:p>
            <w:r/>
            <w:r>
              <w:rPr>
                <w:sz w:val="19"/>
              </w:rPr>
              <w:t>Excel blocks typing into a Collections FC or Specific Alloc cell</w:t>
            </w:r>
          </w:p>
        </w:tc>
        <w:tc>
          <w:tcPr>
            <w:tcW w:type="dxa" w:w="5184"/>
            <w:tcMar>
              <w:top w:w="80" w:type="dxa"/>
              <w:bottom w:w="80" w:type="dxa"/>
              <w:left w:w="120" w:type="dxa"/>
              <w:right w:w="120" w:type="dxa"/>
            </w:tcMar>
          </w:tcPr>
          <w:p>
            <w:r/>
            <w:r>
              <w:rPr>
                <w:sz w:val="19"/>
              </w:rPr>
              <w:t>You're trying to use both methods for the same customer/quarter - clear the other one first (section 2.12).</w:t>
            </w:r>
          </w:p>
        </w:tc>
      </w:tr>
      <w:tr>
        <w:tc>
          <w:tcPr>
            <w:tcW w:type="dxa" w:w="4320"/>
            <w:tcMar>
              <w:top w:w="80" w:type="dxa"/>
              <w:bottom w:w="80" w:type="dxa"/>
              <w:left w:w="120" w:type="dxa"/>
              <w:right w:w="120" w:type="dxa"/>
            </w:tcMar>
          </w:tcPr>
          <w:p>
            <w:r/>
            <w:r>
              <w:rPr>
                <w:sz w:val="19"/>
              </w:rPr>
              <w:t>A quarter's columns all show 0</w:t>
            </w:r>
          </w:p>
        </w:tc>
        <w:tc>
          <w:tcPr>
            <w:tcW w:type="dxa" w:w="5184"/>
            <w:tcMar>
              <w:top w:w="80" w:type="dxa"/>
              <w:bottom w:w="80" w:type="dxa"/>
              <w:left w:w="120" w:type="dxa"/>
              <w:right w:w="120" w:type="dxa"/>
            </w:tcMar>
          </w:tcPr>
          <w:p>
            <w:r/>
            <w:r>
              <w:rPr>
                <w:sz w:val="19"/>
              </w:rPr>
              <w:t>Check the AR Data Date (section 2.3) - that quarter's end date is on or before it, so it's being treated as already closed.</w:t>
            </w:r>
          </w:p>
        </w:tc>
      </w:tr>
      <w:tr>
        <w:tc>
          <w:tcPr>
            <w:tcW w:type="dxa" w:w="4320"/>
            <w:tcMar>
              <w:top w:w="80" w:type="dxa"/>
              <w:bottom w:w="80" w:type="dxa"/>
              <w:left w:w="120" w:type="dxa"/>
              <w:right w:w="120" w:type="dxa"/>
            </w:tcMar>
          </w:tcPr>
          <w:p>
            <w:r/>
            <w:r>
              <w:rPr>
                <w:sz w:val="19"/>
              </w:rPr>
              <w:t>Expected AR-Actual / Actual AR Provision / Variance are blank</w:t>
            </w:r>
          </w:p>
        </w:tc>
        <w:tc>
          <w:tcPr>
            <w:tcW w:type="dxa" w:w="5184"/>
            <w:tcMar>
              <w:top w:w="80" w:type="dxa"/>
              <w:bottom w:w="80" w:type="dxa"/>
              <w:left w:w="120" w:type="dxa"/>
              <w:right w:w="120" w:type="dxa"/>
            </w:tcMar>
          </w:tcPr>
          <w:p>
            <w:r/>
            <w:r>
              <w:rPr>
                <w:sz w:val="19"/>
              </w:rPr>
              <w:t>Normal - they only activate once a real number is typed into that quarter's Actual Collection cell.</w:t>
            </w:r>
          </w:p>
        </w:tc>
      </w:tr>
    </w:tbl>
    <w:p/>
    <w:p>
      <w:pPr>
        <w:pStyle w:val="Heading2"/>
      </w:pPr>
      <w:r>
        <w:t>2.15 Tool 2 summary</w:t>
      </w:r>
    </w:p>
    <w:p>
      <w:pPr>
        <w:pStyle w:val="ListBullet"/>
      </w:pPr>
      <w:r>
        <w:t>Starts from Tool 1's By_Customer output plus an Insurance Master and an AR Data Date</w:t>
      </w:r>
    </w:p>
    <w:p>
      <w:pPr>
        <w:pStyle w:val="ListBullet"/>
      </w:pPr>
      <w:r>
        <w:t>The AR Data Date decides which quarters are closed history (forced to 0) and which are still being forecast</w:t>
      </w:r>
    </w:p>
    <w:p>
      <w:pPr>
        <w:pStyle w:val="ListBullet"/>
      </w:pPr>
      <w:r>
        <w:t>Applies the same seven-bucket rate table every quarter, plus a Not Due sub-bucket schedule that starts most sub-buckets at 0% and escalates them like any other aging balance</w:t>
      </w:r>
    </w:p>
    <w:p>
      <w:pPr>
        <w:pStyle w:val="ListBullet"/>
      </w:pPr>
      <w:r>
        <w:t>Lets a manager forecast collections either by FIFO (oldest bucket first, automatic) or by Specific Allocation (manager states the exact bucket) - never both for the same customer/quarter</w:t>
      </w:r>
    </w:p>
    <w:p>
      <w:pPr>
        <w:pStyle w:val="ListBullet"/>
      </w:pPr>
      <w:r>
        <w:t>AR Provision FC always forecasts to that quarter's END date, so it already prices in aging that happens between the AR Data Date and quarter-end - even for the active quarter</w:t>
      </w:r>
    </w:p>
    <w:p>
      <w:pPr>
        <w:pStyle w:val="ListBullet"/>
      </w:pPr>
      <w:r>
        <w:t>Only Main Account 12301 is ever provisioned; insurance discounts the provision on the insured slice of a balance to 5% of the normal rate</w:t>
      </w:r>
    </w:p>
    <w:p>
      <w:pPr>
        <w:pStyle w:val="ListBullet"/>
      </w:pPr>
      <w:r>
        <w:t>Typing a real Actual Collection unlocks a live forecast-vs-actual Variance for that quarter</w:t>
      </w:r>
    </w:p>
    <w:p>
      <w:r>
        <w:br w:type="page"/>
      </w:r>
    </w:p>
    <w:p>
      <w:pPr>
        <w:pStyle w:val="Heading1"/>
      </w:pPr>
      <w:r>
        <w:t>Part 3 - How Tool 1 and Tool 2 Connect</w:t>
      </w:r>
    </w:p>
    <w:p>
      <w:pPr>
        <w:pStyle w:val="Heading2"/>
      </w:pPr>
      <w:r>
        <w:t>3.1 The pipeline, start to finish</w:t>
      </w:r>
    </w:p>
    <w:tbl>
      <w:tblPr>
        <w:tblStyle w:val="LightGrid-Accent1"/>
        <w:tblW w:type="auto" w:w="0"/>
        <w:jc w:val="center"/>
        <w:tblLook w:firstColumn="1" w:firstRow="1" w:lastColumn="0" w:lastRow="0" w:noHBand="0" w:noVBand="1" w:val="04A0"/>
      </w:tblPr>
      <w:tblGrid>
        <w:gridCol w:w="3249"/>
        <w:gridCol w:w="3249"/>
        <w:gridCol w:w="3249"/>
      </w:tblGrid>
      <w:tr>
        <w:tc>
          <w:tcPr>
            <w:tcW w:type="dxa" w:w="720"/>
            <w:shd w:val="clear" w:color="auto" w:fill="1F3A5F"/>
            <w:tcMar>
              <w:top w:w="80" w:type="dxa"/>
              <w:bottom w:w="80" w:type="dxa"/>
              <w:left w:w="120" w:type="dxa"/>
              <w:right w:w="120" w:type="dxa"/>
            </w:tcMar>
          </w:tcPr>
          <w:p>
            <w:r/>
            <w:r>
              <w:rPr>
                <w:b/>
                <w:color w:val="FFFFFF"/>
              </w:rPr>
              <w:t>Step</w:t>
            </w:r>
          </w:p>
        </w:tc>
        <w:tc>
          <w:tcPr>
            <w:tcW w:type="dxa" w:w="6192"/>
            <w:shd w:val="clear" w:color="auto" w:fill="1F3A5F"/>
            <w:tcMar>
              <w:top w:w="80" w:type="dxa"/>
              <w:bottom w:w="80" w:type="dxa"/>
              <w:left w:w="120" w:type="dxa"/>
              <w:right w:w="120" w:type="dxa"/>
            </w:tcMar>
          </w:tcPr>
          <w:p>
            <w:r/>
            <w:r>
              <w:rPr>
                <w:b/>
                <w:color w:val="FFFFFF"/>
              </w:rPr>
              <w:t>What happens</w:t>
            </w:r>
          </w:p>
        </w:tc>
        <w:tc>
          <w:tcPr>
            <w:tcW w:type="dxa" w:w="2448"/>
            <w:shd w:val="clear" w:color="auto" w:fill="1F3A5F"/>
            <w:tcMar>
              <w:top w:w="80" w:type="dxa"/>
              <w:bottom w:w="80" w:type="dxa"/>
              <w:left w:w="120" w:type="dxa"/>
              <w:right w:w="120" w:type="dxa"/>
            </w:tcMar>
          </w:tcPr>
          <w:p>
            <w:r/>
            <w:r>
              <w:rPr>
                <w:b/>
                <w:color w:val="FFFFFF"/>
              </w:rPr>
              <w:t>Who's involved</w:t>
            </w:r>
          </w:p>
        </w:tc>
      </w:tr>
      <w:tr>
        <w:tc>
          <w:tcPr>
            <w:tcW w:type="dxa" w:w="720"/>
            <w:tcMar>
              <w:top w:w="80" w:type="dxa"/>
              <w:bottom w:w="80" w:type="dxa"/>
              <w:left w:w="120" w:type="dxa"/>
              <w:right w:w="120" w:type="dxa"/>
            </w:tcMar>
          </w:tcPr>
          <w:p>
            <w:r/>
            <w:r>
              <w:rPr>
                <w:sz w:val="19"/>
              </w:rPr>
              <w:t>1</w:t>
            </w:r>
          </w:p>
        </w:tc>
        <w:tc>
          <w:tcPr>
            <w:tcW w:type="dxa" w:w="6192"/>
            <w:tcMar>
              <w:top w:w="80" w:type="dxa"/>
              <w:bottom w:w="80" w:type="dxa"/>
              <w:left w:w="120" w:type="dxa"/>
              <w:right w:w="120" w:type="dxa"/>
            </w:tcMar>
          </w:tcPr>
          <w:p>
            <w:r/>
            <w:r>
              <w:rPr>
                <w:sz w:val="19"/>
              </w:rPr>
              <w:t>Raw, invoice-level AR data is exported from the ERP</w:t>
            </w:r>
          </w:p>
        </w:tc>
        <w:tc>
          <w:tcPr>
            <w:tcW w:type="dxa" w:w="2448"/>
            <w:tcMar>
              <w:top w:w="80" w:type="dxa"/>
              <w:bottom w:w="80" w:type="dxa"/>
              <w:left w:w="120" w:type="dxa"/>
              <w:right w:w="120" w:type="dxa"/>
            </w:tcMar>
          </w:tcPr>
          <w:p>
            <w:r/>
            <w:r>
              <w:rPr>
                <w:sz w:val="19"/>
              </w:rPr>
              <w:t>Finance / IT</w:t>
            </w:r>
          </w:p>
        </w:tc>
      </w:tr>
      <w:tr>
        <w:tc>
          <w:tcPr>
            <w:tcW w:type="dxa" w:w="720"/>
            <w:tcMar>
              <w:top w:w="80" w:type="dxa"/>
              <w:bottom w:w="80" w:type="dxa"/>
              <w:left w:w="120" w:type="dxa"/>
              <w:right w:w="120" w:type="dxa"/>
            </w:tcMar>
          </w:tcPr>
          <w:p>
            <w:r/>
            <w:r>
              <w:rPr>
                <w:sz w:val="19"/>
              </w:rPr>
              <w:t>2</w:t>
            </w:r>
          </w:p>
        </w:tc>
        <w:tc>
          <w:tcPr>
            <w:tcW w:type="dxa" w:w="6192"/>
            <w:tcMar>
              <w:top w:w="80" w:type="dxa"/>
              <w:bottom w:w="80" w:type="dxa"/>
              <w:left w:w="120" w:type="dxa"/>
              <w:right w:w="120" w:type="dxa"/>
            </w:tcMar>
          </w:tcPr>
          <w:p>
            <w:r/>
            <w:r>
              <w:rPr>
                <w:sz w:val="19"/>
              </w:rPr>
              <w:t>Upload to Tool 1 (Orion), pick the Starting Quarter, download</w:t>
            </w:r>
          </w:p>
        </w:tc>
        <w:tc>
          <w:tcPr>
            <w:tcW w:type="dxa" w:w="2448"/>
            <w:tcMar>
              <w:top w:w="80" w:type="dxa"/>
              <w:bottom w:w="80" w:type="dxa"/>
              <w:left w:w="120" w:type="dxa"/>
              <w:right w:w="120" w:type="dxa"/>
            </w:tcMar>
          </w:tcPr>
          <w:p>
            <w:r/>
            <w:r>
              <w:rPr>
                <w:sz w:val="19"/>
              </w:rPr>
              <w:t>Credit manager</w:t>
            </w:r>
          </w:p>
        </w:tc>
      </w:tr>
      <w:tr>
        <w:tc>
          <w:tcPr>
            <w:tcW w:type="dxa" w:w="720"/>
            <w:tcMar>
              <w:top w:w="80" w:type="dxa"/>
              <w:bottom w:w="80" w:type="dxa"/>
              <w:left w:w="120" w:type="dxa"/>
              <w:right w:w="120" w:type="dxa"/>
            </w:tcMar>
          </w:tcPr>
          <w:p>
            <w:r/>
            <w:r>
              <w:rPr>
                <w:sz w:val="19"/>
              </w:rPr>
              <w:t>3</w:t>
            </w:r>
          </w:p>
        </w:tc>
        <w:tc>
          <w:tcPr>
            <w:tcW w:type="dxa" w:w="6192"/>
            <w:tcMar>
              <w:top w:w="80" w:type="dxa"/>
              <w:bottom w:w="80" w:type="dxa"/>
              <w:left w:w="120" w:type="dxa"/>
              <w:right w:w="120" w:type="dxa"/>
            </w:tcMar>
          </w:tcPr>
          <w:p>
            <w:r/>
            <w:r>
              <w:rPr>
                <w:sz w:val="19"/>
              </w:rPr>
              <w:t>Tool 1's By_Customer sheet - one row per customer, aging buckets, a collections forecast - is the deliverable of step 2</w:t>
            </w:r>
          </w:p>
        </w:tc>
        <w:tc>
          <w:tcPr>
            <w:tcW w:type="dxa" w:w="2448"/>
            <w:tcMar>
              <w:top w:w="80" w:type="dxa"/>
              <w:bottom w:w="80" w:type="dxa"/>
              <w:left w:w="120" w:type="dxa"/>
              <w:right w:w="120" w:type="dxa"/>
            </w:tcMar>
          </w:tcPr>
          <w:p>
            <w:r/>
            <w:r>
              <w:rPr>
                <w:sz w:val="19"/>
              </w:rPr>
              <w:t>-</w:t>
            </w:r>
          </w:p>
        </w:tc>
      </w:tr>
      <w:tr>
        <w:tc>
          <w:tcPr>
            <w:tcW w:type="dxa" w:w="720"/>
            <w:tcMar>
              <w:top w:w="80" w:type="dxa"/>
              <w:bottom w:w="80" w:type="dxa"/>
              <w:left w:w="120" w:type="dxa"/>
              <w:right w:w="120" w:type="dxa"/>
            </w:tcMar>
          </w:tcPr>
          <w:p>
            <w:r/>
            <w:r>
              <w:rPr>
                <w:sz w:val="19"/>
              </w:rPr>
              <w:t>4</w:t>
            </w:r>
          </w:p>
        </w:tc>
        <w:tc>
          <w:tcPr>
            <w:tcW w:type="dxa" w:w="6192"/>
            <w:tcMar>
              <w:top w:w="80" w:type="dxa"/>
              <w:bottom w:w="80" w:type="dxa"/>
              <w:left w:w="120" w:type="dxa"/>
              <w:right w:w="120" w:type="dxa"/>
            </w:tcMar>
          </w:tcPr>
          <w:p>
            <w:r/>
            <w:r>
              <w:rPr>
                <w:sz w:val="19"/>
              </w:rPr>
              <w:t>Upload that By_Customer file (plus an Insurance Master and an AR Data Date) to Tool 2 (BUD2026)</w:t>
            </w:r>
          </w:p>
        </w:tc>
        <w:tc>
          <w:tcPr>
            <w:tcW w:type="dxa" w:w="2448"/>
            <w:tcMar>
              <w:top w:w="80" w:type="dxa"/>
              <w:bottom w:w="80" w:type="dxa"/>
              <w:left w:w="120" w:type="dxa"/>
              <w:right w:w="120" w:type="dxa"/>
            </w:tcMar>
          </w:tcPr>
          <w:p>
            <w:r/>
            <w:r>
              <w:rPr>
                <w:sz w:val="19"/>
              </w:rPr>
              <w:t>Credit manager</w:t>
            </w:r>
          </w:p>
        </w:tc>
      </w:tr>
      <w:tr>
        <w:tc>
          <w:tcPr>
            <w:tcW w:type="dxa" w:w="720"/>
            <w:tcMar>
              <w:top w:w="80" w:type="dxa"/>
              <w:bottom w:w="80" w:type="dxa"/>
              <w:left w:w="120" w:type="dxa"/>
              <w:right w:w="120" w:type="dxa"/>
            </w:tcMar>
          </w:tcPr>
          <w:p>
            <w:r/>
            <w:r>
              <w:rPr>
                <w:sz w:val="19"/>
              </w:rPr>
              <w:t>5</w:t>
            </w:r>
          </w:p>
        </w:tc>
        <w:tc>
          <w:tcPr>
            <w:tcW w:type="dxa" w:w="6192"/>
            <w:tcMar>
              <w:top w:w="80" w:type="dxa"/>
              <w:bottom w:w="80" w:type="dxa"/>
              <w:left w:w="120" w:type="dxa"/>
              <w:right w:w="120" w:type="dxa"/>
            </w:tcMar>
          </w:tcPr>
          <w:p>
            <w:r/>
            <w:r>
              <w:rPr>
                <w:sz w:val="19"/>
              </w:rPr>
              <w:t>Tool 2 produces the full quarterly provision workbook - live formulas, ready to adjust and review</w:t>
            </w:r>
          </w:p>
        </w:tc>
        <w:tc>
          <w:tcPr>
            <w:tcW w:type="dxa" w:w="2448"/>
            <w:tcMar>
              <w:top w:w="80" w:type="dxa"/>
              <w:bottom w:w="80" w:type="dxa"/>
              <w:left w:w="120" w:type="dxa"/>
              <w:right w:w="120" w:type="dxa"/>
            </w:tcMar>
          </w:tcPr>
          <w:p>
            <w:r/>
            <w:r>
              <w:rPr>
                <w:sz w:val="19"/>
              </w:rPr>
              <w:t>-</w:t>
            </w:r>
          </w:p>
        </w:tc>
      </w:tr>
      <w:tr>
        <w:tc>
          <w:tcPr>
            <w:tcW w:type="dxa" w:w="720"/>
            <w:tcMar>
              <w:top w:w="80" w:type="dxa"/>
              <w:bottom w:w="80" w:type="dxa"/>
              <w:left w:w="120" w:type="dxa"/>
              <w:right w:w="120" w:type="dxa"/>
            </w:tcMar>
          </w:tcPr>
          <w:p>
            <w:r/>
            <w:r>
              <w:rPr>
                <w:sz w:val="19"/>
              </w:rPr>
              <w:t>6</w:t>
            </w:r>
          </w:p>
        </w:tc>
        <w:tc>
          <w:tcPr>
            <w:tcW w:type="dxa" w:w="6192"/>
            <w:tcMar>
              <w:top w:w="80" w:type="dxa"/>
              <w:bottom w:w="80" w:type="dxa"/>
              <w:left w:w="120" w:type="dxa"/>
              <w:right w:w="120" w:type="dxa"/>
            </w:tcMar>
          </w:tcPr>
          <w:p>
            <w:r/>
            <w:r>
              <w:rPr>
                <w:sz w:val="19"/>
              </w:rPr>
              <w:t>Credit manager types Collections FC / Specific Allocations for the current quarter, and later the real Actual Collection once known</w:t>
            </w:r>
          </w:p>
        </w:tc>
        <w:tc>
          <w:tcPr>
            <w:tcW w:type="dxa" w:w="2448"/>
            <w:tcMar>
              <w:top w:w="80" w:type="dxa"/>
              <w:bottom w:w="80" w:type="dxa"/>
              <w:left w:w="120" w:type="dxa"/>
              <w:right w:w="120" w:type="dxa"/>
            </w:tcMar>
          </w:tcPr>
          <w:p>
            <w:r/>
            <w:r>
              <w:rPr>
                <w:sz w:val="19"/>
              </w:rPr>
              <w:t>Credit manager</w:t>
            </w:r>
          </w:p>
        </w:tc>
      </w:tr>
      <w:tr>
        <w:tc>
          <w:tcPr>
            <w:tcW w:type="dxa" w:w="720"/>
            <w:tcMar>
              <w:top w:w="80" w:type="dxa"/>
              <w:bottom w:w="80" w:type="dxa"/>
              <w:left w:w="120" w:type="dxa"/>
              <w:right w:w="120" w:type="dxa"/>
            </w:tcMar>
          </w:tcPr>
          <w:p>
            <w:r/>
            <w:r>
              <w:rPr>
                <w:sz w:val="19"/>
              </w:rPr>
              <w:t>7</w:t>
            </w:r>
          </w:p>
        </w:tc>
        <w:tc>
          <w:tcPr>
            <w:tcW w:type="dxa" w:w="6192"/>
            <w:tcMar>
              <w:top w:w="80" w:type="dxa"/>
              <w:bottom w:w="80" w:type="dxa"/>
              <w:left w:w="120" w:type="dxa"/>
              <w:right w:w="120" w:type="dxa"/>
            </w:tcMar>
          </w:tcPr>
          <w:p>
            <w:r/>
            <w:r>
              <w:rPr>
                <w:sz w:val="19"/>
              </w:rPr>
              <w:t>Provision Effect for the active quarter is the number that flows into the P&amp;L as bad-debt expense</w:t>
            </w:r>
          </w:p>
        </w:tc>
        <w:tc>
          <w:tcPr>
            <w:tcW w:type="dxa" w:w="2448"/>
            <w:tcMar>
              <w:top w:w="80" w:type="dxa"/>
              <w:bottom w:w="80" w:type="dxa"/>
              <w:left w:w="120" w:type="dxa"/>
              <w:right w:w="120" w:type="dxa"/>
            </w:tcMar>
          </w:tcPr>
          <w:p>
            <w:r/>
            <w:r>
              <w:rPr>
                <w:sz w:val="19"/>
              </w:rPr>
              <w:t>Finance</w:t>
            </w:r>
          </w:p>
        </w:tc>
      </w:tr>
    </w:tbl>
    <w:p/>
    <w:p>
      <w:pPr>
        <w:pStyle w:val="Heading2"/>
      </w:pPr>
      <w:r>
        <w:t>3.2 Which Tool 1 columns feed which Tool 2 columns</w:t>
      </w:r>
    </w:p>
    <w:tbl>
      <w:tblPr>
        <w:tblStyle w:val="LightGrid-Accent1"/>
        <w:tblW w:type="auto" w:w="0"/>
        <w:jc w:val="center"/>
        <w:tblLook w:firstColumn="1" w:firstRow="1" w:lastColumn="0" w:lastRow="0" w:noHBand="0" w:noVBand="1" w:val="04A0"/>
      </w:tblPr>
      <w:tblGrid>
        <w:gridCol w:w="4873"/>
        <w:gridCol w:w="4873"/>
      </w:tblGrid>
      <w:tr>
        <w:tc>
          <w:tcPr>
            <w:tcW w:type="dxa" w:w="4464"/>
            <w:shd w:val="clear" w:color="auto" w:fill="1F3A5F"/>
            <w:tcMar>
              <w:top w:w="80" w:type="dxa"/>
              <w:bottom w:w="80" w:type="dxa"/>
              <w:left w:w="120" w:type="dxa"/>
              <w:right w:w="120" w:type="dxa"/>
            </w:tcMar>
          </w:tcPr>
          <w:p>
            <w:r/>
            <w:r>
              <w:rPr>
                <w:b/>
                <w:color w:val="FFFFFF"/>
              </w:rPr>
              <w:t>Tool 1 (By_Customer) column</w:t>
            </w:r>
          </w:p>
        </w:tc>
        <w:tc>
          <w:tcPr>
            <w:tcW w:type="dxa" w:w="4752"/>
            <w:shd w:val="clear" w:color="auto" w:fill="1F3A5F"/>
            <w:tcMar>
              <w:top w:w="80" w:type="dxa"/>
              <w:bottom w:w="80" w:type="dxa"/>
              <w:left w:w="120" w:type="dxa"/>
              <w:right w:w="120" w:type="dxa"/>
            </w:tcMar>
          </w:tcPr>
          <w:p>
            <w:r/>
            <w:r>
              <w:rPr>
                <w:b/>
                <w:color w:val="FFFFFF"/>
              </w:rPr>
              <w:t>Feeds Tool 2 (ALL sheet) column</w:t>
            </w:r>
          </w:p>
        </w:tc>
      </w:tr>
      <w:tr>
        <w:tc>
          <w:tcPr>
            <w:tcW w:type="dxa" w:w="4464"/>
            <w:tcMar>
              <w:top w:w="80" w:type="dxa"/>
              <w:bottom w:w="80" w:type="dxa"/>
              <w:left w:w="120" w:type="dxa"/>
              <w:right w:w="120" w:type="dxa"/>
            </w:tcMar>
          </w:tcPr>
          <w:p>
            <w:r/>
            <w:r>
              <w:rPr>
                <w:sz w:val="19"/>
              </w:rPr>
              <w:t>Cust Code / Cust Name / Main Ac / Region / Updated Status</w:t>
            </w:r>
          </w:p>
        </w:tc>
        <w:tc>
          <w:tcPr>
            <w:tcW w:type="dxa" w:w="4752"/>
            <w:tcMar>
              <w:top w:w="80" w:type="dxa"/>
              <w:bottom w:w="80" w:type="dxa"/>
              <w:left w:w="120" w:type="dxa"/>
              <w:right w:w="120" w:type="dxa"/>
            </w:tcMar>
          </w:tcPr>
          <w:p>
            <w:r/>
            <w:r>
              <w:rPr>
                <w:sz w:val="19"/>
              </w:rPr>
              <w:t>Same identifying columns</w:t>
            </w:r>
          </w:p>
        </w:tc>
      </w:tr>
      <w:tr>
        <w:tc>
          <w:tcPr>
            <w:tcW w:type="dxa" w:w="4464"/>
            <w:tcMar>
              <w:top w:w="80" w:type="dxa"/>
              <w:bottom w:w="80" w:type="dxa"/>
              <w:left w:w="120" w:type="dxa"/>
              <w:right w:w="120" w:type="dxa"/>
            </w:tcMar>
          </w:tcPr>
          <w:p>
            <w:r/>
            <w:r>
              <w:rPr>
                <w:sz w:val="19"/>
              </w:rPr>
              <w:t>On account</w:t>
            </w:r>
          </w:p>
        </w:tc>
        <w:tc>
          <w:tcPr>
            <w:tcW w:type="dxa" w:w="4752"/>
            <w:tcMar>
              <w:top w:w="80" w:type="dxa"/>
              <w:bottom w:w="80" w:type="dxa"/>
              <w:left w:w="120" w:type="dxa"/>
              <w:right w:w="120" w:type="dxa"/>
            </w:tcMar>
          </w:tcPr>
          <w:p>
            <w:r/>
            <w:r>
              <w:rPr>
                <w:sz w:val="19"/>
              </w:rPr>
              <w:t>On Account</w:t>
            </w:r>
          </w:p>
        </w:tc>
      </w:tr>
      <w:tr>
        <w:tc>
          <w:tcPr>
            <w:tcW w:type="dxa" w:w="4464"/>
            <w:tcMar>
              <w:top w:w="80" w:type="dxa"/>
              <w:bottom w:w="80" w:type="dxa"/>
              <w:left w:w="120" w:type="dxa"/>
              <w:right w:w="120" w:type="dxa"/>
            </w:tcMar>
          </w:tcPr>
          <w:p>
            <w:r/>
            <w:r>
              <w:rPr>
                <w:sz w:val="19"/>
              </w:rPr>
              <w:t>Not Due 0-30 / 31-60 / 61-90 / 91-180 / 180+ days</w:t>
            </w:r>
          </w:p>
        </w:tc>
        <w:tc>
          <w:tcPr>
            <w:tcW w:type="dxa" w:w="4752"/>
            <w:tcMar>
              <w:top w:w="80" w:type="dxa"/>
              <w:bottom w:w="80" w:type="dxa"/>
              <w:left w:w="120" w:type="dxa"/>
              <w:right w:w="120" w:type="dxa"/>
            </w:tcMar>
          </w:tcPr>
          <w:p>
            <w:r/>
            <w:r>
              <w:rPr>
                <w:sz w:val="19"/>
              </w:rPr>
              <w:t>The five Not Due sub-buckets (section 2.5)</w:t>
            </w:r>
          </w:p>
        </w:tc>
      </w:tr>
      <w:tr>
        <w:tc>
          <w:tcPr>
            <w:tcW w:type="dxa" w:w="4464"/>
            <w:tcMar>
              <w:top w:w="80" w:type="dxa"/>
              <w:bottom w:w="80" w:type="dxa"/>
              <w:left w:w="120" w:type="dxa"/>
              <w:right w:w="120" w:type="dxa"/>
            </w:tcMar>
          </w:tcPr>
          <w:p>
            <w:r/>
            <w:r>
              <w:rPr>
                <w:sz w:val="19"/>
              </w:rPr>
              <w:t>Aging 1 to 30 ... Aging &gt;=151</w:t>
            </w:r>
          </w:p>
        </w:tc>
        <w:tc>
          <w:tcPr>
            <w:tcW w:type="dxa" w:w="4752"/>
            <w:tcMar>
              <w:top w:w="80" w:type="dxa"/>
              <w:bottom w:w="80" w:type="dxa"/>
              <w:left w:w="120" w:type="dxa"/>
              <w:right w:w="120" w:type="dxa"/>
            </w:tcMar>
          </w:tcPr>
          <w:p>
            <w:r/>
            <w:r>
              <w:rPr>
                <w:sz w:val="19"/>
              </w:rPr>
              <w:t>The matching six overdue buckets</w:t>
            </w:r>
          </w:p>
        </w:tc>
      </w:tr>
      <w:tr>
        <w:tc>
          <w:tcPr>
            <w:tcW w:type="dxa" w:w="4464"/>
            <w:tcMar>
              <w:top w:w="80" w:type="dxa"/>
              <w:bottom w:w="80" w:type="dxa"/>
              <w:left w:w="120" w:type="dxa"/>
              <w:right w:w="120" w:type="dxa"/>
            </w:tcMar>
          </w:tcPr>
          <w:p>
            <w:r/>
            <w:r>
              <w:rPr>
                <w:sz w:val="19"/>
              </w:rPr>
              <w:t>Ar Balance</w:t>
            </w:r>
          </w:p>
        </w:tc>
        <w:tc>
          <w:tcPr>
            <w:tcW w:type="dxa" w:w="4752"/>
            <w:tcMar>
              <w:top w:w="80" w:type="dxa"/>
              <w:bottom w:w="80" w:type="dxa"/>
              <w:left w:w="120" w:type="dxa"/>
              <w:right w:w="120" w:type="dxa"/>
            </w:tcMar>
          </w:tcPr>
          <w:p>
            <w:r/>
            <w:r>
              <w:rPr>
                <w:sz w:val="19"/>
              </w:rPr>
              <w:t>AR Balance (used directly if present, else recomputed from the buckets)</w:t>
            </w:r>
          </w:p>
        </w:tc>
      </w:tr>
      <w:tr>
        <w:tc>
          <w:tcPr>
            <w:tcW w:type="dxa" w:w="4464"/>
            <w:tcMar>
              <w:top w:w="80" w:type="dxa"/>
              <w:bottom w:w="80" w:type="dxa"/>
              <w:left w:w="120" w:type="dxa"/>
              <w:right w:w="120" w:type="dxa"/>
            </w:tcMar>
          </w:tcPr>
          <w:p>
            <w:r/>
            <w:r>
              <w:rPr>
                <w:sz w:val="19"/>
              </w:rPr>
              <w:t>Actual Qx / Forecast Qx (from the % chain in section 1.6)</w:t>
            </w:r>
          </w:p>
        </w:tc>
        <w:tc>
          <w:tcPr>
            <w:tcW w:type="dxa" w:w="4752"/>
            <w:tcMar>
              <w:top w:w="80" w:type="dxa"/>
              <w:bottom w:w="80" w:type="dxa"/>
              <w:left w:w="120" w:type="dxa"/>
              <w:right w:w="120" w:type="dxa"/>
            </w:tcMar>
          </w:tcPr>
          <w:p>
            <w:r/>
            <w:r>
              <w:rPr>
                <w:sz w:val="19"/>
              </w:rPr>
              <w:t>Collections FC for the matching calendar quarter - pre-filled automatically, still fully editable</w:t>
            </w:r>
          </w:p>
        </w:tc>
      </w:tr>
      <w:tr>
        <w:tc>
          <w:tcPr>
            <w:tcW w:type="dxa" w:w="4464"/>
            <w:tcMar>
              <w:top w:w="80" w:type="dxa"/>
              <w:bottom w:w="80" w:type="dxa"/>
              <w:left w:w="120" w:type="dxa"/>
              <w:right w:w="120" w:type="dxa"/>
            </w:tcMar>
          </w:tcPr>
          <w:p>
            <w:r/>
            <w:r>
              <w:rPr>
                <w:sz w:val="19"/>
              </w:rPr>
              <w:t>Insurance Master upload (separate file, both tools)</w:t>
            </w:r>
          </w:p>
        </w:tc>
        <w:tc>
          <w:tcPr>
            <w:tcW w:type="dxa" w:w="4752"/>
            <w:tcMar>
              <w:top w:w="80" w:type="dxa"/>
              <w:bottom w:w="80" w:type="dxa"/>
              <w:left w:w="120" w:type="dxa"/>
              <w:right w:w="120" w:type="dxa"/>
            </w:tcMar>
          </w:tcPr>
          <w:p>
            <w:r/>
            <w:r>
              <w:rPr>
                <w:sz w:val="19"/>
              </w:rPr>
              <w:t>Insurance column, looked up by Customer Code + Main Account</w:t>
            </w:r>
          </w:p>
        </w:tc>
      </w:tr>
    </w:tbl>
    <w:p/>
    <w:p>
      <w:pPr>
        <w:pStyle w:val="Heading2"/>
      </w:pPr>
      <w:r>
        <w:t>3.3 Reconciling the two different "quarter" ideas</w:t>
      </w:r>
    </w:p>
    <w:p>
      <w:pPr>
        <w:spacing w:after="120"/>
      </w:pPr>
      <w:r>
        <w:rPr>
          <w:b w:val="0"/>
          <w:i w:val="0"/>
        </w:rPr>
        <w:t>This is worth stating plainly, because the two tools use "quarter" slightly differently. Tool 1's Starting Quarter dropdown defines mid-month-split PERIOD COLUMNS for its own collections forecast (section 1.5). Tool 2's quarters are plain calendar quarters (Jan-Mar, Apr-Jun, Jul-Sep, Oct-Dec), and which one is "active" is controlled entirely by the AR Data Date, not by any dropdown. They are related - Tool 1's forecast numbers for the current and next calendar quarter pre-fill Tool 2's Collections FC for those same quarters - but they are not the same setting, and changing one does not automatically change the other. When you regenerate both tools for a new quarter, update BOTH: Tool 1's Starting Quarter dropdown and Tool 2's AR Data Date.</w:t>
      </w:r>
    </w:p>
    <w:p>
      <w:r>
        <w:br w:type="page"/>
      </w:r>
    </w:p>
    <w:p>
      <w:pPr>
        <w:pStyle w:val="Heading1"/>
      </w:pPr>
      <w:r>
        <w:t>Part 4 - Glossary (A to Z)</w:t>
      </w:r>
    </w:p>
    <w:p>
      <w:pPr>
        <w:spacing w:after="80"/>
      </w:pPr>
      <w:r>
        <w:rPr>
          <w:b/>
          <w:i w:val="0"/>
        </w:rPr>
        <w:t xml:space="preserve">Actual Collection - </w:t>
      </w:r>
      <w:r>
        <w:rPr>
          <w:b w:val="0"/>
          <w:i w:val="0"/>
        </w:rPr>
        <w:t>The real, ERP-confirmed collection amount, typed in by the manager once known. Left blank (not zero) until then.</w:t>
      </w:r>
    </w:p>
    <w:p>
      <w:pPr>
        <w:spacing w:after="80"/>
      </w:pPr>
      <w:r>
        <w:rPr>
          <w:b/>
          <w:i w:val="0"/>
        </w:rPr>
        <w:t xml:space="preserve">Aging bucket - </w:t>
      </w:r>
      <w:r>
        <w:rPr>
          <w:b w:val="0"/>
          <w:i w:val="0"/>
        </w:rPr>
        <w:t>Which overdue-days range a balance falls into: Not Due, 1-30, 31-60, 61-90, 91-120, 121-150, or &gt;=151.</w:t>
      </w:r>
    </w:p>
    <w:p>
      <w:pPr>
        <w:spacing w:after="80"/>
      </w:pPr>
      <w:r>
        <w:rPr>
          <w:b/>
          <w:i w:val="0"/>
        </w:rPr>
        <w:t xml:space="preserve">AR (Accounts Receivable) - </w:t>
      </w:r>
      <w:r>
        <w:rPr>
          <w:b w:val="0"/>
          <w:i w:val="0"/>
        </w:rPr>
        <w:t>Total unpaid customer invoices - money owed to us.</w:t>
      </w:r>
    </w:p>
    <w:p>
      <w:pPr>
        <w:spacing w:after="80"/>
      </w:pPr>
      <w:r>
        <w:rPr>
          <w:b/>
          <w:i w:val="0"/>
        </w:rPr>
        <w:t xml:space="preserve">AR Balance - </w:t>
      </w:r>
      <w:r>
        <w:rPr>
          <w:b w:val="0"/>
          <w:i w:val="0"/>
        </w:rPr>
        <w:t>The total outstanding amount for a customer: On Account + Not Due + all overdue buckets.</w:t>
      </w:r>
    </w:p>
    <w:p>
      <w:pPr>
        <w:spacing w:after="80"/>
      </w:pPr>
      <w:r>
        <w:rPr>
          <w:b/>
          <w:i w:val="0"/>
        </w:rPr>
        <w:t xml:space="preserve">AR Data Date - </w:t>
      </w:r>
      <w:r>
        <w:rPr>
          <w:b w:val="0"/>
          <w:i w:val="0"/>
        </w:rPr>
        <w:t>Tool 2's single reference date. Quarters ending on/before it are treated as closed history (forced to 0); the next quarter becomes active.</w:t>
      </w:r>
    </w:p>
    <w:p>
      <w:pPr>
        <w:spacing w:after="80"/>
      </w:pPr>
      <w:r>
        <w:rPr>
          <w:b/>
          <w:i w:val="0"/>
        </w:rPr>
        <w:t xml:space="preserve">As on Date - </w:t>
      </w:r>
      <w:r>
        <w:rPr>
          <w:b w:val="0"/>
          <w:i w:val="0"/>
        </w:rPr>
        <w:t>Tool 1's equivalent reference date, read from cell B14 of the uploaded file - the "today" every aging calculation measures from.</w:t>
      </w:r>
    </w:p>
    <w:p>
      <w:pPr>
        <w:spacing w:after="80"/>
      </w:pPr>
      <w:r>
        <w:rPr>
          <w:b/>
          <w:i w:val="0"/>
        </w:rPr>
        <w:t xml:space="preserve">AR Provision FC - </w:t>
      </w:r>
      <w:r>
        <w:rPr>
          <w:b w:val="0"/>
          <w:i w:val="0"/>
        </w:rPr>
        <w:t>A quarter block's forecasted total provision as of that quarter's END date - includes both collections and the natural aging that happens by then.</w:t>
      </w:r>
    </w:p>
    <w:p>
      <w:pPr>
        <w:spacing w:after="80"/>
      </w:pPr>
      <w:r>
        <w:rPr>
          <w:b/>
          <w:i w:val="0"/>
        </w:rPr>
        <w:t xml:space="preserve">Blocking rules - </w:t>
      </w:r>
      <w:r>
        <w:rPr>
          <w:b w:val="0"/>
          <w:i w:val="0"/>
        </w:rPr>
        <w:t>Tool 1's exclusion list (customer name, Main Account, or status) that zeroes out the forward collections forecast for a row, without touching its aging totals.</w:t>
      </w:r>
    </w:p>
    <w:p>
      <w:pPr>
        <w:spacing w:after="80"/>
      </w:pPr>
      <w:r>
        <w:rPr>
          <w:b/>
          <w:i w:val="0"/>
        </w:rPr>
        <w:t xml:space="preserve">By_Customer - </w:t>
      </w:r>
      <w:r>
        <w:rPr>
          <w:b w:val="0"/>
          <w:i w:val="0"/>
        </w:rPr>
        <w:t>Tool 1's main output sheet - one row per customer + Main Account, aging buckets, and a quarter-by-quarter collections forecast. Feeds directly into Tool 2.</w:t>
      </w:r>
    </w:p>
    <w:p>
      <w:pPr>
        <w:spacing w:after="80"/>
      </w:pPr>
      <w:r>
        <w:rPr>
          <w:b/>
          <w:i w:val="0"/>
        </w:rPr>
        <w:t xml:space="preserve">Collections FC (FIFO) - </w:t>
      </w:r>
      <w:r>
        <w:rPr>
          <w:b w:val="0"/>
          <w:i w:val="0"/>
        </w:rPr>
        <w:t>A quarter's forecast collection amount, assumed to reduce the oldest bucket first.</w:t>
      </w:r>
    </w:p>
    <w:p>
      <w:pPr>
        <w:spacing w:after="80"/>
      </w:pPr>
      <w:r>
        <w:rPr>
          <w:b/>
          <w:i w:val="0"/>
        </w:rPr>
        <w:t xml:space="preserve">Expected AR - </w:t>
      </w:r>
      <w:r>
        <w:rPr>
          <w:b w:val="0"/>
          <w:i w:val="0"/>
        </w:rPr>
        <w:t>The AR balance still outstanding after subtracting all FIFO collections and Specific Allocations forecast so far, cumulative across quarters. Never negative.</w:t>
      </w:r>
    </w:p>
    <w:p>
      <w:pPr>
        <w:spacing w:after="80"/>
      </w:pPr>
      <w:r>
        <w:rPr>
          <w:b/>
          <w:i w:val="0"/>
        </w:rPr>
        <w:t xml:space="preserve">FIFO - </w:t>
      </w:r>
      <w:r>
        <w:rPr>
          <w:b w:val="0"/>
          <w:i w:val="0"/>
        </w:rPr>
        <w:t>"First in, first out" - the rule that any collection reduces the oldest, riskiest money first.</w:t>
      </w:r>
    </w:p>
    <w:p>
      <w:pPr>
        <w:spacing w:after="80"/>
      </w:pPr>
      <w:r>
        <w:rPr>
          <w:b/>
          <w:i w:val="0"/>
        </w:rPr>
        <w:t xml:space="preserve">Insurance limit - </w:t>
      </w:r>
      <w:r>
        <w:rPr>
          <w:b w:val="0"/>
          <w:i w:val="0"/>
        </w:rPr>
        <w:t>The maximum amount of a customer's balance covered by trade credit insurance. The covered portion is provisioned at 5% of the normal rate.</w:t>
      </w:r>
    </w:p>
    <w:p>
      <w:pPr>
        <w:spacing w:after="80"/>
      </w:pPr>
      <w:r>
        <w:rPr>
          <w:b/>
          <w:i w:val="0"/>
        </w:rPr>
        <w:t xml:space="preserve">Main Ac / Main Account - </w:t>
      </w:r>
      <w:r>
        <w:rPr>
          <w:b w:val="0"/>
          <w:i w:val="0"/>
        </w:rPr>
        <w:t>The account code a balance is booked under. Only 12301 is ever provisioned by Tool 2; certain other codes (12302/12304/12306) are also excluded from Tool 1's collections forecast.</w:t>
      </w:r>
    </w:p>
    <w:p>
      <w:pPr>
        <w:spacing w:after="80"/>
      </w:pPr>
      <w:r>
        <w:rPr>
          <w:b/>
          <w:i w:val="0"/>
        </w:rPr>
        <w:t xml:space="preserve">Not Due - </w:t>
      </w:r>
      <w:r>
        <w:rPr>
          <w:b w:val="0"/>
          <w:i w:val="0"/>
        </w:rPr>
        <w:t>Money not yet past its due date. Split into five sub-buckets by how soon it becomes due (section 2.5).</w:t>
      </w:r>
    </w:p>
    <w:p>
      <w:pPr>
        <w:spacing w:after="80"/>
      </w:pPr>
      <w:r>
        <w:rPr>
          <w:b/>
          <w:i w:val="0"/>
        </w:rPr>
        <w:t xml:space="preserve">On Account - </w:t>
      </w:r>
      <w:r>
        <w:rPr>
          <w:b w:val="0"/>
          <w:i w:val="0"/>
        </w:rPr>
        <w:t>A credit or overpayment balance (negative AR) - reduces the oldest overdue bucket automatically, like a free collection.</w:t>
      </w:r>
    </w:p>
    <w:p>
      <w:pPr>
        <w:spacing w:after="80"/>
      </w:pPr>
      <w:r>
        <w:rPr>
          <w:b/>
          <w:i w:val="0"/>
        </w:rPr>
        <w:t xml:space="preserve">Overdue days - </w:t>
      </w:r>
      <w:r>
        <w:rPr>
          <w:b w:val="0"/>
          <w:i w:val="0"/>
        </w:rPr>
        <w:t>As on Date (or AR Data Date) minus the invoice's due date. Negative means not yet due.</w:t>
      </w:r>
    </w:p>
    <w:p>
      <w:pPr>
        <w:spacing w:after="80"/>
      </w:pPr>
      <w:r>
        <w:rPr>
          <w:b/>
          <w:i w:val="0"/>
        </w:rPr>
        <w:t xml:space="preserve">Provision - </w:t>
      </w:r>
      <w:r>
        <w:rPr>
          <w:b w:val="0"/>
          <w:i w:val="0"/>
        </w:rPr>
        <w:t>The forecasted expense for AR we expect to never collect - an accounting estimate booked in advance.</w:t>
      </w:r>
    </w:p>
    <w:p>
      <w:pPr>
        <w:spacing w:after="80"/>
      </w:pPr>
      <w:r>
        <w:rPr>
          <w:b/>
          <w:i w:val="0"/>
        </w:rPr>
        <w:t xml:space="preserve">Provision Effect - </w:t>
      </w:r>
      <w:r>
        <w:rPr>
          <w:b w:val="0"/>
          <w:i w:val="0"/>
        </w:rPr>
        <w:t>How much a quarter's provision forecast changes versus the prior reference point - the number that actually hits the P&amp;L.</w:t>
      </w:r>
    </w:p>
    <w:p>
      <w:pPr>
        <w:spacing w:after="80"/>
      </w:pPr>
      <w:r>
        <w:rPr>
          <w:b/>
          <w:i w:val="0"/>
        </w:rPr>
        <w:t xml:space="preserve">Quarter-based aging migration - </w:t>
      </w:r>
      <w:r>
        <w:rPr>
          <w:b w:val="0"/>
          <w:i w:val="0"/>
        </w:rPr>
        <w:t>The assumption that, absent collection, a balance's overdue bucket advances roughly one quarter's worth of aging every quarter that passes.</w:t>
      </w:r>
    </w:p>
    <w:p>
      <w:pPr>
        <w:spacing w:after="80"/>
      </w:pPr>
      <w:r>
        <w:rPr>
          <w:b/>
          <w:i w:val="0"/>
        </w:rPr>
        <w:t xml:space="preserve">Specific Allocation - </w:t>
      </w:r>
      <w:r>
        <w:rPr>
          <w:b w:val="0"/>
          <w:i w:val="0"/>
        </w:rPr>
        <w:t>An alternative to FIFO - the manager states exactly which bucket a forecast collection reduces, instead of letting the tool assume oldest-first.</w:t>
      </w:r>
    </w:p>
    <w:p>
      <w:pPr>
        <w:spacing w:after="80"/>
      </w:pPr>
      <w:r>
        <w:rPr>
          <w:b/>
          <w:i w:val="0"/>
        </w:rPr>
        <w:t xml:space="preserve">Starting Quarter - </w:t>
      </w:r>
      <w:r>
        <w:rPr>
          <w:b w:val="0"/>
          <w:i w:val="0"/>
        </w:rPr>
        <w:t>Tool 1's dropdown - decides which calendar quarter is "current" for building its period/forecast columns (section 1.5).</w:t>
      </w:r>
    </w:p>
    <w:p>
      <w:pPr>
        <w:spacing w:after="80"/>
      </w:pPr>
      <w:r>
        <w:rPr>
          <w:b/>
          <w:i w:val="0"/>
        </w:rPr>
        <w:t xml:space="preserve">Status (Customer Status / Updated Status) - </w:t>
      </w:r>
      <w:r>
        <w:rPr>
          <w:b w:val="0"/>
          <w:i w:val="0"/>
        </w:rPr>
        <w:t>GOOD, REGULAR, SUBSTANDARD, DOUBTFUL, or BAD_DEBT - governs eligibility for forecasting (section 0.8).</w:t>
      </w:r>
    </w:p>
    <w:p>
      <w:pPr>
        <w:spacing w:after="80"/>
      </w:pPr>
      <w:r>
        <w:rPr>
          <w:b/>
          <w:i w:val="0"/>
        </w:rPr>
        <w:t xml:space="preserve">Variance Actual vs Forecast - </w:t>
      </w:r>
      <w:r>
        <w:rPr>
          <w:b w:val="0"/>
          <w:i w:val="0"/>
        </w:rPr>
        <w:t>Actual AR Provision minus AR Provision FC - shows whether reality came in worse or better than the forecast.</w:t>
      </w:r>
    </w:p>
    <w:p>
      <w:r>
        <w:br w:type="page"/>
      </w:r>
    </w:p>
    <w:p>
      <w:pPr>
        <w:pStyle w:val="Heading1"/>
      </w:pPr>
      <w:r>
        <w:t>Appendix - One-Page Quick Reference Card</w:t>
      </w:r>
    </w:p>
    <w:p>
      <w:pPr>
        <w:pStyle w:val="Heading2"/>
      </w:pPr>
      <w:r>
        <w:t>Provision rate table (both tools)</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96"/>
            <w:shd w:val="clear" w:color="auto" w:fill="1F3A5F"/>
            <w:tcMar>
              <w:top w:w="80" w:type="dxa"/>
              <w:bottom w:w="80" w:type="dxa"/>
              <w:left w:w="120" w:type="dxa"/>
              <w:right w:w="120" w:type="dxa"/>
            </w:tcMar>
          </w:tcPr>
          <w:p>
            <w:r/>
            <w:r>
              <w:rPr>
                <w:b/>
                <w:color w:val="FFFFFF"/>
              </w:rPr>
              <w:t>Not Due</w:t>
            </w:r>
          </w:p>
        </w:tc>
        <w:tc>
          <w:tcPr>
            <w:tcW w:type="dxa" w:w="1296"/>
            <w:shd w:val="clear" w:color="auto" w:fill="1F3A5F"/>
            <w:tcMar>
              <w:top w:w="80" w:type="dxa"/>
              <w:bottom w:w="80" w:type="dxa"/>
              <w:left w:w="120" w:type="dxa"/>
              <w:right w:w="120" w:type="dxa"/>
            </w:tcMar>
          </w:tcPr>
          <w:p>
            <w:r/>
            <w:r>
              <w:rPr>
                <w:b/>
                <w:color w:val="FFFFFF"/>
              </w:rPr>
              <w:t>1-30</w:t>
            </w:r>
          </w:p>
        </w:tc>
        <w:tc>
          <w:tcPr>
            <w:tcW w:type="dxa" w:w="1296"/>
            <w:shd w:val="clear" w:color="auto" w:fill="1F3A5F"/>
            <w:tcMar>
              <w:top w:w="80" w:type="dxa"/>
              <w:bottom w:w="80" w:type="dxa"/>
              <w:left w:w="120" w:type="dxa"/>
              <w:right w:w="120" w:type="dxa"/>
            </w:tcMar>
          </w:tcPr>
          <w:p>
            <w:r/>
            <w:r>
              <w:rPr>
                <w:b/>
                <w:color w:val="FFFFFF"/>
              </w:rPr>
              <w:t>31-60</w:t>
            </w:r>
          </w:p>
        </w:tc>
        <w:tc>
          <w:tcPr>
            <w:tcW w:type="dxa" w:w="1296"/>
            <w:shd w:val="clear" w:color="auto" w:fill="1F3A5F"/>
            <w:tcMar>
              <w:top w:w="80" w:type="dxa"/>
              <w:bottom w:w="80" w:type="dxa"/>
              <w:left w:w="120" w:type="dxa"/>
              <w:right w:w="120" w:type="dxa"/>
            </w:tcMar>
          </w:tcPr>
          <w:p>
            <w:r/>
            <w:r>
              <w:rPr>
                <w:b/>
                <w:color w:val="FFFFFF"/>
              </w:rPr>
              <w:t>61-90</w:t>
            </w:r>
          </w:p>
        </w:tc>
        <w:tc>
          <w:tcPr>
            <w:tcW w:type="dxa" w:w="1296"/>
            <w:shd w:val="clear" w:color="auto" w:fill="1F3A5F"/>
            <w:tcMar>
              <w:top w:w="80" w:type="dxa"/>
              <w:bottom w:w="80" w:type="dxa"/>
              <w:left w:w="120" w:type="dxa"/>
              <w:right w:w="120" w:type="dxa"/>
            </w:tcMar>
          </w:tcPr>
          <w:p>
            <w:r/>
            <w:r>
              <w:rPr>
                <w:b/>
                <w:color w:val="FFFFFF"/>
              </w:rPr>
              <w:t>91-120</w:t>
            </w:r>
          </w:p>
        </w:tc>
        <w:tc>
          <w:tcPr>
            <w:tcW w:type="dxa" w:w="1440"/>
            <w:shd w:val="clear" w:color="auto" w:fill="1F3A5F"/>
            <w:tcMar>
              <w:top w:w="80" w:type="dxa"/>
              <w:bottom w:w="80" w:type="dxa"/>
              <w:left w:w="120" w:type="dxa"/>
              <w:right w:w="120" w:type="dxa"/>
            </w:tcMar>
          </w:tcPr>
          <w:p>
            <w:r/>
            <w:r>
              <w:rPr>
                <w:b/>
                <w:color w:val="FFFFFF"/>
              </w:rPr>
              <w:t>121-150</w:t>
            </w:r>
          </w:p>
        </w:tc>
        <w:tc>
          <w:tcPr>
            <w:tcW w:type="dxa" w:w="1296"/>
            <w:shd w:val="clear" w:color="auto" w:fill="1F3A5F"/>
            <w:tcMar>
              <w:top w:w="80" w:type="dxa"/>
              <w:bottom w:w="80" w:type="dxa"/>
              <w:left w:w="120" w:type="dxa"/>
              <w:right w:w="120" w:type="dxa"/>
            </w:tcMar>
          </w:tcPr>
          <w:p>
            <w:r/>
            <w:r>
              <w:rPr>
                <w:b/>
                <w:color w:val="FFFFFF"/>
              </w:rPr>
              <w:t>&gt;=151</w:t>
            </w:r>
          </w:p>
        </w:tc>
      </w:tr>
      <w:tr>
        <w:tc>
          <w:tcPr>
            <w:tcW w:type="dxa" w:w="1296"/>
            <w:tcMar>
              <w:top w:w="80" w:type="dxa"/>
              <w:bottom w:w="80" w:type="dxa"/>
              <w:left w:w="120" w:type="dxa"/>
              <w:right w:w="120" w:type="dxa"/>
            </w:tcMar>
          </w:tcPr>
          <w:p>
            <w:r/>
            <w:r>
              <w:rPr>
                <w:sz w:val="19"/>
              </w:rPr>
              <w:t>3%</w:t>
            </w:r>
          </w:p>
        </w:tc>
        <w:tc>
          <w:tcPr>
            <w:tcW w:type="dxa" w:w="1296"/>
            <w:tcMar>
              <w:top w:w="80" w:type="dxa"/>
              <w:bottom w:w="80" w:type="dxa"/>
              <w:left w:w="120" w:type="dxa"/>
              <w:right w:w="120" w:type="dxa"/>
            </w:tcMar>
          </w:tcPr>
          <w:p>
            <w:r/>
            <w:r>
              <w:rPr>
                <w:sz w:val="19"/>
              </w:rPr>
              <w:t>3%</w:t>
            </w:r>
          </w:p>
        </w:tc>
        <w:tc>
          <w:tcPr>
            <w:tcW w:type="dxa" w:w="1296"/>
            <w:tcMar>
              <w:top w:w="80" w:type="dxa"/>
              <w:bottom w:w="80" w:type="dxa"/>
              <w:left w:w="120" w:type="dxa"/>
              <w:right w:w="120" w:type="dxa"/>
            </w:tcMar>
          </w:tcPr>
          <w:p>
            <w:r/>
            <w:r>
              <w:rPr>
                <w:sz w:val="19"/>
              </w:rPr>
              <w:t>3%</w:t>
            </w:r>
          </w:p>
        </w:tc>
        <w:tc>
          <w:tcPr>
            <w:tcW w:type="dxa" w:w="1296"/>
            <w:tcMar>
              <w:top w:w="80" w:type="dxa"/>
              <w:bottom w:w="80" w:type="dxa"/>
              <w:left w:w="120" w:type="dxa"/>
              <w:right w:w="120" w:type="dxa"/>
            </w:tcMar>
          </w:tcPr>
          <w:p>
            <w:r/>
            <w:r>
              <w:rPr>
                <w:sz w:val="19"/>
              </w:rPr>
              <w:t>25%</w:t>
            </w:r>
          </w:p>
        </w:tc>
        <w:tc>
          <w:tcPr>
            <w:tcW w:type="dxa" w:w="1296"/>
            <w:tcMar>
              <w:top w:w="80" w:type="dxa"/>
              <w:bottom w:w="80" w:type="dxa"/>
              <w:left w:w="120" w:type="dxa"/>
              <w:right w:w="120" w:type="dxa"/>
            </w:tcMar>
          </w:tcPr>
          <w:p>
            <w:r/>
            <w:r>
              <w:rPr>
                <w:sz w:val="19"/>
              </w:rPr>
              <w:t>50%</w:t>
            </w:r>
          </w:p>
        </w:tc>
        <w:tc>
          <w:tcPr>
            <w:tcW w:type="dxa" w:w="1440"/>
            <w:tcMar>
              <w:top w:w="80" w:type="dxa"/>
              <w:bottom w:w="80" w:type="dxa"/>
              <w:left w:w="120" w:type="dxa"/>
              <w:right w:w="120" w:type="dxa"/>
            </w:tcMar>
          </w:tcPr>
          <w:p>
            <w:r/>
            <w:r>
              <w:rPr>
                <w:sz w:val="19"/>
              </w:rPr>
              <w:t>75%</w:t>
            </w:r>
          </w:p>
        </w:tc>
        <w:tc>
          <w:tcPr>
            <w:tcW w:type="dxa" w:w="1296"/>
            <w:tcMar>
              <w:top w:w="80" w:type="dxa"/>
              <w:bottom w:w="80" w:type="dxa"/>
              <w:left w:w="120" w:type="dxa"/>
              <w:right w:w="120" w:type="dxa"/>
            </w:tcMar>
          </w:tcPr>
          <w:p>
            <w:r/>
            <w:r>
              <w:rPr>
                <w:sz w:val="19"/>
              </w:rPr>
              <w:t>100%</w:t>
            </w:r>
          </w:p>
        </w:tc>
      </w:tr>
    </w:tbl>
    <w:p/>
    <w:p>
      <w:pPr>
        <w:pStyle w:val="Heading2"/>
      </w:pPr>
      <w:r>
        <w:t>Customer status eligibility</w:t>
      </w:r>
    </w:p>
    <w:tbl>
      <w:tblPr>
        <w:tblStyle w:val="LightGrid-Accent1"/>
        <w:tblW w:type="auto" w:w="0"/>
        <w:jc w:val="center"/>
        <w:tblLook w:firstColumn="1" w:firstRow="1" w:lastColumn="0" w:lastRow="0" w:noHBand="0" w:noVBand="1" w:val="04A0"/>
      </w:tblPr>
      <w:tblGrid>
        <w:gridCol w:w="3249"/>
        <w:gridCol w:w="3249"/>
        <w:gridCol w:w="3249"/>
      </w:tblGrid>
      <w:tr>
        <w:tc>
          <w:tcPr>
            <w:tcW w:type="dxa" w:w="2880"/>
            <w:shd w:val="clear" w:color="auto" w:fill="1F3A5F"/>
            <w:tcMar>
              <w:top w:w="80" w:type="dxa"/>
              <w:bottom w:w="80" w:type="dxa"/>
              <w:left w:w="120" w:type="dxa"/>
              <w:right w:w="120" w:type="dxa"/>
            </w:tcMar>
          </w:tcPr>
          <w:p>
            <w:r/>
            <w:r>
              <w:rPr>
                <w:b/>
                <w:color w:val="FFFFFF"/>
              </w:rPr>
              <w:t>Status</w:t>
            </w:r>
          </w:p>
        </w:tc>
        <w:tc>
          <w:tcPr>
            <w:tcW w:type="dxa" w:w="3456"/>
            <w:shd w:val="clear" w:color="auto" w:fill="1F3A5F"/>
            <w:tcMar>
              <w:top w:w="80" w:type="dxa"/>
              <w:bottom w:w="80" w:type="dxa"/>
              <w:left w:w="120" w:type="dxa"/>
              <w:right w:w="120" w:type="dxa"/>
            </w:tcMar>
          </w:tcPr>
          <w:p>
            <w:r/>
            <w:r>
              <w:rPr>
                <w:b/>
                <w:color w:val="FFFFFF"/>
              </w:rPr>
              <w:t>Tool 1 collections forecast</w:t>
            </w:r>
          </w:p>
        </w:tc>
        <w:tc>
          <w:tcPr>
            <w:tcW w:type="dxa" w:w="3456"/>
            <w:shd w:val="clear" w:color="auto" w:fill="1F3A5F"/>
            <w:tcMar>
              <w:top w:w="80" w:type="dxa"/>
              <w:bottom w:w="80" w:type="dxa"/>
              <w:left w:w="120" w:type="dxa"/>
              <w:right w:w="120" w:type="dxa"/>
            </w:tcMar>
          </w:tcPr>
          <w:p>
            <w:r/>
            <w:r>
              <w:rPr>
                <w:b/>
                <w:color w:val="FFFFFF"/>
              </w:rPr>
              <w:t>Tool 2 provision</w:t>
            </w:r>
          </w:p>
        </w:tc>
      </w:tr>
      <w:tr>
        <w:tc>
          <w:tcPr>
            <w:tcW w:type="dxa" w:w="2880"/>
            <w:tcMar>
              <w:top w:w="80" w:type="dxa"/>
              <w:bottom w:w="80" w:type="dxa"/>
              <w:left w:w="120" w:type="dxa"/>
              <w:right w:w="120" w:type="dxa"/>
            </w:tcMar>
          </w:tcPr>
          <w:p>
            <w:r/>
            <w:r>
              <w:rPr>
                <w:sz w:val="19"/>
              </w:rPr>
              <w:t>GOOD</w:t>
            </w:r>
          </w:p>
        </w:tc>
        <w:tc>
          <w:tcPr>
            <w:tcW w:type="dxa" w:w="3456"/>
            <w:tcMar>
              <w:top w:w="80" w:type="dxa"/>
              <w:bottom w:w="80" w:type="dxa"/>
              <w:left w:w="120" w:type="dxa"/>
              <w:right w:w="120" w:type="dxa"/>
            </w:tcMar>
          </w:tcPr>
          <w:p>
            <w:r/>
            <w:r>
              <w:rPr>
                <w:sz w:val="19"/>
              </w:rPr>
              <w:t>Eligible</w:t>
            </w:r>
          </w:p>
        </w:tc>
        <w:tc>
          <w:tcPr>
            <w:tcW w:type="dxa" w:w="3456"/>
            <w:tcMar>
              <w:top w:w="80" w:type="dxa"/>
              <w:bottom w:w="80" w:type="dxa"/>
              <w:left w:w="120" w:type="dxa"/>
              <w:right w:w="120" w:type="dxa"/>
            </w:tcMar>
          </w:tcPr>
          <w:p>
            <w:r/>
            <w:r>
              <w:rPr>
                <w:sz w:val="19"/>
              </w:rPr>
              <w:t>Eligible (if Main Ac 12301)</w:t>
            </w:r>
          </w:p>
        </w:tc>
      </w:tr>
      <w:tr>
        <w:tc>
          <w:tcPr>
            <w:tcW w:type="dxa" w:w="2880"/>
            <w:tcMar>
              <w:top w:w="80" w:type="dxa"/>
              <w:bottom w:w="80" w:type="dxa"/>
              <w:left w:w="120" w:type="dxa"/>
              <w:right w:w="120" w:type="dxa"/>
            </w:tcMar>
          </w:tcPr>
          <w:p>
            <w:r/>
            <w:r>
              <w:rPr>
                <w:sz w:val="19"/>
              </w:rPr>
              <w:t>REGULAR</w:t>
            </w:r>
          </w:p>
        </w:tc>
        <w:tc>
          <w:tcPr>
            <w:tcW w:type="dxa" w:w="3456"/>
            <w:tcMar>
              <w:top w:w="80" w:type="dxa"/>
              <w:bottom w:w="80" w:type="dxa"/>
              <w:left w:w="120" w:type="dxa"/>
              <w:right w:w="120" w:type="dxa"/>
            </w:tcMar>
          </w:tcPr>
          <w:p>
            <w:r/>
            <w:r>
              <w:rPr>
                <w:sz w:val="19"/>
              </w:rPr>
              <w:t>Eligible</w:t>
            </w:r>
          </w:p>
        </w:tc>
        <w:tc>
          <w:tcPr>
            <w:tcW w:type="dxa" w:w="3456"/>
            <w:tcMar>
              <w:top w:w="80" w:type="dxa"/>
              <w:bottom w:w="80" w:type="dxa"/>
              <w:left w:w="120" w:type="dxa"/>
              <w:right w:w="120" w:type="dxa"/>
            </w:tcMar>
          </w:tcPr>
          <w:p>
            <w:r/>
            <w:r>
              <w:rPr>
                <w:sz w:val="19"/>
              </w:rPr>
              <w:t>Eligible (if Main Ac 12301)</w:t>
            </w:r>
          </w:p>
        </w:tc>
      </w:tr>
      <w:tr>
        <w:tc>
          <w:tcPr>
            <w:tcW w:type="dxa" w:w="2880"/>
            <w:tcMar>
              <w:top w:w="80" w:type="dxa"/>
              <w:bottom w:w="80" w:type="dxa"/>
              <w:left w:w="120" w:type="dxa"/>
              <w:right w:w="120" w:type="dxa"/>
            </w:tcMar>
          </w:tcPr>
          <w:p>
            <w:r/>
            <w:r>
              <w:rPr>
                <w:sz w:val="19"/>
              </w:rPr>
              <w:t>SUBSTANDARD</w:t>
            </w:r>
          </w:p>
        </w:tc>
        <w:tc>
          <w:tcPr>
            <w:tcW w:type="dxa" w:w="3456"/>
            <w:tcMar>
              <w:top w:w="80" w:type="dxa"/>
              <w:bottom w:w="80" w:type="dxa"/>
              <w:left w:w="120" w:type="dxa"/>
              <w:right w:w="120" w:type="dxa"/>
            </w:tcMar>
          </w:tcPr>
          <w:p>
            <w:r/>
            <w:r>
              <w:rPr>
                <w:sz w:val="19"/>
              </w:rPr>
              <w:t>Eligible (also the default)</w:t>
            </w:r>
          </w:p>
        </w:tc>
        <w:tc>
          <w:tcPr>
            <w:tcW w:type="dxa" w:w="3456"/>
            <w:tcMar>
              <w:top w:w="80" w:type="dxa"/>
              <w:bottom w:w="80" w:type="dxa"/>
              <w:left w:w="120" w:type="dxa"/>
              <w:right w:w="120" w:type="dxa"/>
            </w:tcMar>
          </w:tcPr>
          <w:p>
            <w:r/>
            <w:r>
              <w:rPr>
                <w:sz w:val="19"/>
              </w:rPr>
              <w:t>Eligible (if Main Ac 12301)</w:t>
            </w:r>
          </w:p>
        </w:tc>
      </w:tr>
      <w:tr>
        <w:tc>
          <w:tcPr>
            <w:tcW w:type="dxa" w:w="2880"/>
            <w:tcMar>
              <w:top w:w="80" w:type="dxa"/>
              <w:bottom w:w="80" w:type="dxa"/>
              <w:left w:w="120" w:type="dxa"/>
              <w:right w:w="120" w:type="dxa"/>
            </w:tcMar>
          </w:tcPr>
          <w:p>
            <w:r/>
            <w:r>
              <w:rPr>
                <w:sz w:val="19"/>
              </w:rPr>
              <w:t>DOUBTFUL / DOUB_INS_CLA</w:t>
            </w:r>
          </w:p>
        </w:tc>
        <w:tc>
          <w:tcPr>
            <w:tcW w:type="dxa" w:w="3456"/>
            <w:tcMar>
              <w:top w:w="80" w:type="dxa"/>
              <w:bottom w:w="80" w:type="dxa"/>
              <w:left w:w="120" w:type="dxa"/>
              <w:right w:w="120" w:type="dxa"/>
            </w:tcMar>
          </w:tcPr>
          <w:p>
            <w:r/>
            <w:r>
              <w:rPr>
                <w:sz w:val="19"/>
              </w:rPr>
              <w:t>Excluded</w:t>
            </w:r>
          </w:p>
        </w:tc>
        <w:tc>
          <w:tcPr>
            <w:tcW w:type="dxa" w:w="3456"/>
            <w:tcMar>
              <w:top w:w="80" w:type="dxa"/>
              <w:bottom w:w="80" w:type="dxa"/>
              <w:left w:w="120" w:type="dxa"/>
              <w:right w:w="120" w:type="dxa"/>
            </w:tcMar>
          </w:tcPr>
          <w:p>
            <w:r/>
            <w:r>
              <w:rPr>
                <w:sz w:val="19"/>
              </w:rPr>
              <w:t>Not modeled by status - governed by Main Ac only</w:t>
            </w:r>
          </w:p>
        </w:tc>
      </w:tr>
      <w:tr>
        <w:tc>
          <w:tcPr>
            <w:tcW w:type="dxa" w:w="2880"/>
            <w:tcMar>
              <w:top w:w="80" w:type="dxa"/>
              <w:bottom w:w="80" w:type="dxa"/>
              <w:left w:w="120" w:type="dxa"/>
              <w:right w:w="120" w:type="dxa"/>
            </w:tcMar>
          </w:tcPr>
          <w:p>
            <w:r/>
            <w:r>
              <w:rPr>
                <w:sz w:val="19"/>
              </w:rPr>
              <w:t>BAD_DEBT</w:t>
            </w:r>
          </w:p>
        </w:tc>
        <w:tc>
          <w:tcPr>
            <w:tcW w:type="dxa" w:w="3456"/>
            <w:tcMar>
              <w:top w:w="80" w:type="dxa"/>
              <w:bottom w:w="80" w:type="dxa"/>
              <w:left w:w="120" w:type="dxa"/>
              <w:right w:w="120" w:type="dxa"/>
            </w:tcMar>
          </w:tcPr>
          <w:p>
            <w:r/>
            <w:r>
              <w:rPr>
                <w:sz w:val="19"/>
              </w:rPr>
              <w:t>Excluded</w:t>
            </w:r>
          </w:p>
        </w:tc>
        <w:tc>
          <w:tcPr>
            <w:tcW w:type="dxa" w:w="3456"/>
            <w:tcMar>
              <w:top w:w="80" w:type="dxa"/>
              <w:bottom w:w="80" w:type="dxa"/>
              <w:left w:w="120" w:type="dxa"/>
              <w:right w:w="120" w:type="dxa"/>
            </w:tcMar>
          </w:tcPr>
          <w:p>
            <w:r/>
            <w:r>
              <w:rPr>
                <w:sz w:val="19"/>
              </w:rPr>
              <w:t>Not modeled by status - governed by Main Ac only</w:t>
            </w:r>
          </w:p>
        </w:tc>
      </w:tr>
    </w:tbl>
    <w:p/>
    <w:p>
      <w:pPr>
        <w:pStyle w:val="Heading2"/>
      </w:pPr>
      <w:r>
        <w:t>Tool 1 (Orion) blocking rules - forecast forced to 0</w:t>
      </w:r>
    </w:p>
    <w:p>
      <w:pPr>
        <w:pStyle w:val="ListBullet"/>
      </w:pPr>
      <w:r>
        <w:t>Customer name contains MINDWARE, AKLANIAT, or IFIX (any case)</w:t>
      </w:r>
    </w:p>
    <w:p>
      <w:pPr>
        <w:pStyle w:val="ListBullet"/>
      </w:pPr>
      <w:r>
        <w:t>Main Account is 12302, 12304, or 12306</w:t>
      </w:r>
    </w:p>
    <w:p>
      <w:pPr>
        <w:pStyle w:val="ListBullet"/>
      </w:pPr>
      <w:r>
        <w:t>Updated Status is not GOOD, REGULAR, or SUBSTANDARD</w:t>
      </w:r>
    </w:p>
    <w:p>
      <w:pPr>
        <w:pStyle w:val="Heading2"/>
      </w:pPr>
      <w:r>
        <w:t>Tool 2 (BUD2026) key rules</w:t>
      </w:r>
    </w:p>
    <w:p>
      <w:pPr>
        <w:pStyle w:val="ListBullet"/>
      </w:pPr>
      <w:r>
        <w:t>Only Main Account 12301 is ever provisioned - everything else always shows 0</w:t>
      </w:r>
    </w:p>
    <w:p>
      <w:pPr>
        <w:pStyle w:val="ListBullet"/>
      </w:pPr>
      <w:r>
        <w:t>AR Data Date gates whole quarters to 0 if their end date is on/before it</w:t>
      </w:r>
    </w:p>
    <w:p>
      <w:pPr>
        <w:pStyle w:val="ListBullet"/>
      </w:pPr>
      <w:r>
        <w:t>Use FIFO Collections OR Specific Allocation per customer/quarter - never both (Excel blocks it)</w:t>
      </w:r>
    </w:p>
    <w:p>
      <w:pPr>
        <w:pStyle w:val="ListBullet"/>
      </w:pPr>
      <w:r>
        <w:t>Actual Collection and its three dependent columns must be left BLANK, not 0, until a real number is known</w:t>
      </w:r>
    </w:p>
    <w:p>
      <w:pPr>
        <w:pStyle w:val="ListBullet"/>
      </w:pPr>
      <w:r>
        <w:t>Insurance discounts the covered slice of a balance to 5% of its normal rate</w:t>
      </w:r>
    </w:p>
    <w:p>
      <w:pPr>
        <w:pStyle w:val="ListBullet"/>
      </w:pPr>
      <w:r>
        <w:t>The base "Provision after collection" columns only reflect Collections FC (FIFO), never Specific Allocation - check the quarter block for the true post-allocation number</w:t>
      </w:r>
    </w:p>
    <w:p>
      <w:pPr>
        <w:pStyle w:val="Heading2"/>
      </w:pPr>
      <w:r>
        <w:t>The one insight to remember from this whole guide</w:t>
      </w:r>
    </w:p>
    <w:tbl>
      <w:tblPr>
        <w:tblW w:type="auto" w:w="0"/>
        <w:jc w:val="center"/>
        <w:tblLook w:firstColumn="1" w:firstRow="1" w:lastColumn="0" w:lastRow="0" w:noHBand="0" w:noVBand="1" w:val="04A0"/>
      </w:tblPr>
      <w:tblGrid>
        <w:gridCol w:w="9746"/>
      </w:tblGrid>
      <w:tr>
        <w:tc>
          <w:tcPr>
            <w:tcW w:type="dxa" w:w="9746"/>
            <w:shd w:val="clear" w:color="auto" w:fill="D9E8F5"/>
            <w:tcMar>
              <w:top w:w="140" w:type="dxa"/>
              <w:bottom w:w="140" w:type="dxa"/>
              <w:left w:w="200" w:type="dxa"/>
              <w:right w:w="200" w:type="dxa"/>
            </w:tcMar>
          </w:tcPr>
          <w:p>
            <w:r>
              <w:t>Provision is not a static snapshot - it is a forecast that grows automatically as unpaid money gets older, and the only thing that shrinks it is an actual collection. Tool 1 forecasts the collection; Tool 2 forecasts the provision that results if that collection does or doesn't happen. Everything else in both tools is mechanics in service of that one idea.</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