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BUD2026 from By_Customer — Traverse Demo Prep (Q&amp;A)</w:t>
      </w:r>
    </w:p>
    <w:p>
      <w:r>
        <w:rPr>
          <w:i/>
        </w:rPr>
        <w:t>Everything to know before presenting the Traverse → BUD2026 quarterly flow to the team. Written so you can answer any question live without opening the code.</w:t>
      </w:r>
    </w:p>
    <w:p>
      <w:r>
        <w:rPr>
          <w:b w:val="0"/>
          <w:i w:val="0"/>
        </w:rPr>
        <w:t>Scope for this demo: source = Traverse (not Orion), output = the quarterly BUD2026 model. This doc covers the full pipeline: raw Traverse export → Tool 1 (Traverse) → By_Customer → Tool 2 (BUD2026) → Insurance Master → the quarterly ALL-sheet output → Dashboard/AI copilot.</w:t>
      </w:r>
    </w:p>
    <w:p>
      <w:r>
        <w:rPr>
          <w:b/>
          <w:color w:val="C00000"/>
        </w:rPr>
        <w:t>⚠ Two real bugs were found and fixed today while preparing this (2026-09-16), in traverse/export.py. See Part 5 — say so if anyone asks why numbers might differ from an older test file.</w:t>
      </w:r>
    </w:p>
    <w:p>
      <w:pPr>
        <w:pStyle w:val="Heading1"/>
      </w:pPr>
      <w:r>
        <w:t>PART 1 — The Big Picture</w:t>
      </w:r>
    </w:p>
    <w:p>
      <w:pPr>
        <w:pStyle w:val="Heading2"/>
      </w:pPr>
      <w:r>
        <w:t>Q1. What exactly are we demoing?</w:t>
      </w:r>
    </w:p>
    <w:p>
      <w:r>
        <w:rPr>
          <w:b w:val="0"/>
          <w:i w:val="0"/>
        </w:rPr>
        <w:t>Two tools chained together, both live in the same Streamlit app (app.py), as separate tabs:</w:t>
      </w:r>
    </w:p>
    <w:p>
      <w:pPr>
        <w:pStyle w:val="ListBullet"/>
      </w:pPr>
      <w:r>
        <w:rPr>
          <w:b/>
        </w:rPr>
        <w:t xml:space="preserve">Tab 1 — "AR Backlog": </w:t>
      </w:r>
      <w:r>
        <w:t>Turns a raw AR export into a standard per-customer summary sheet called By_Customer (aging buckets, not-due buckets, status, region, etc).</w:t>
      </w:r>
    </w:p>
    <w:p>
      <w:pPr>
        <w:pStyle w:val="ListBullet"/>
      </w:pPr>
      <w:r>
        <w:rPr>
          <w:b/>
        </w:rPr>
        <w:t xml:space="preserve">Tab 3 — "BUD2026 from By_Customer": </w:t>
      </w:r>
      <w:r>
        <w:t>Takes one or more By_Customer files + an Insurance Master and produces the full quarterly provision/collections forecast workbook (the "ALL" sheet) with live Excel formulas.</w:t>
      </w:r>
    </w:p>
    <w:p>
      <w:r>
        <w:rPr>
          <w:b w:val="0"/>
          <w:i w:val="0"/>
        </w:rPr>
        <w:t>Tomorrow's demo picks Traverse as the source inside Tab 1 (there's a radio button: Orion / Traverse), then feeds that output into Tab 3.</w:t>
      </w:r>
    </w:p>
    <w:p>
      <w:pPr>
        <w:pStyle w:val="Heading2"/>
      </w:pPr>
      <w:r>
        <w:t>Q2. What's the difference between Orion and Traverse as a source?</w:t>
      </w:r>
    </w:p>
    <w:p>
      <w:r>
        <w:rPr>
          <w:b w:val="0"/>
          <w:i w:val="0"/>
        </w:rPr>
        <w:t>Both are just different raw export formats from different systems feeding the exact same downstream engine. Concretely:</w:t>
      </w:r>
    </w:p>
    <w:p>
      <w:pPr>
        <w:pStyle w:val="ListBullet"/>
      </w:pPr>
      <w:r>
        <w:t>Orion's raw file is a full AR Backlog export (invoice-level, with an "As on Date" already stamped in the file at cell B14). Tool 1/Orion reads that file directly and computes aging from real columns already in the file (Document Due Date, Ar Balance, Customer Status, etc).</w:t>
      </w:r>
    </w:p>
    <w:p>
      <w:pPr>
        <w:pStyle w:val="ListBullet"/>
      </w:pPr>
      <w:r>
        <w:t>Traverse's raw file is a different ERP's export (columns like CustId, GrossAmount, GrossAmountBase, GrpDate, GrpDue, Country — no Document Due Date / Ar Balance / Customer Status columns at all). Tool 1/Traverse re-derives everything those columns would have given you — status, region, main account, aging — from small hardcoded lookup tables and a currency conversion, builds a synthetic "Orion-shaped" table in memory, then hands it to the exact same customer_summary() aggregation function Orion uses. That's why the By_Customer sheet looks identical either way.</w:t>
      </w:r>
    </w:p>
    <w:p>
      <w:r>
        <w:rPr>
          <w:b w:val="0"/>
          <w:i w:val="0"/>
        </w:rPr>
        <w:t>So: same engine, same By_Customer output shape, same BUD2026 downstream — only the raw-input parsing and a handful of business-rule lookups differ.</w:t>
      </w:r>
    </w:p>
    <w:p>
      <w:pPr>
        <w:pStyle w:val="Heading2"/>
      </w:pPr>
      <w:r>
        <w:t>Q3. Why does Traverse have to invent Status/Region/Main Account instead of just reading them?</w:t>
      </w:r>
    </w:p>
    <w:p>
      <w:r>
        <w:rPr>
          <w:b w:val="0"/>
          <w:i w:val="0"/>
        </w:rPr>
        <w:t>Because the raw Traverse export genuinely doesn't carry a usable equivalent of Orion's "Customer Status"/"Main Ac" columns for our purposes. Instead there are three small hardcoded Python dictionaries in traverse/rules.py (below) that a developer maintains by hand as more customers are identified. This is the single most important thing to know before someone asks "why is this customer showing Regular / why is the region wrong" — the answer is almost always "it's not in the lookup table yet."</w:t>
      </w:r>
    </w:p>
    <w:p>
      <w:pPr>
        <w:pStyle w:val="Heading2"/>
      </w:pPr>
      <w:r>
        <w:t>Q4. Is BUD2026 replacing the AR Provision Forecast tool (Tab 4)?</w:t>
      </w:r>
    </w:p>
    <w:p>
      <w:r>
        <w:rPr>
          <w:b w:val="0"/>
          <w:i w:val="0"/>
        </w:rPr>
        <w:t>No. They're siblings, not a replacement:</w:t>
      </w:r>
    </w:p>
    <w:p>
      <w:pPr>
        <w:pStyle w:val="ListBullet"/>
      </w:pPr>
      <w:r>
        <w:t>Tab 4, "AR Provision Forecast" — MONTHLY model, 12 month columns, one AR Data Date.</w:t>
      </w:r>
    </w:p>
    <w:p>
      <w:pPr>
        <w:pStyle w:val="ListBullet"/>
      </w:pPr>
      <w:r>
        <w:t>Tab 3, "BUD2026 from By_Customer" — QUARTERLY model (Q1–Q4 2026 only), built for the QBR/budget cadence. Its formula engine was ported from the monthly tool's logic but restructured into quarter blocks, plus a management Dashboard + AI copilot the monthly tool doesn't have.</w:t>
      </w:r>
    </w:p>
    <w:p>
      <w:r>
        <w:rPr>
          <w:b w:val="0"/>
          <w:i w:val="0"/>
        </w:rPr>
        <w:t>Both read the same By_Customer shape and both can be sourced from either Orion or Traverse. Neither supersedes the other — they answer different reporting cadences.</w:t>
      </w:r>
    </w:p>
    <w:p>
      <w:pPr>
        <w:pStyle w:val="Heading1"/>
      </w:pPr>
      <w:r>
        <w:t>PART 2 — Tool 1 (Traverse): raw export → By_Customer</w:t>
      </w:r>
    </w:p>
    <w:p>
      <w:pPr>
        <w:pStyle w:val="Heading2"/>
      </w:pPr>
      <w:r>
        <w:t>Q5. What do I upload, and what columns does it need?</w:t>
      </w:r>
    </w:p>
    <w:p>
      <w:r>
        <w:rPr>
          <w:b w:val="0"/>
          <w:i w:val="0"/>
        </w:rPr>
        <w:t>Any .xlsx/.xls file. The reader (traverse/processor.py) scores every sheet in the workbook against the expected column set {CustId, CustName, GrossAmount, GrossAmountBase, GrpDate, GrpDue, Country} and auto-picks whichever sheet scores highest — so it doesn't matter which sheet or tab name the raw export uses, as long as one sheet has (most of) those headers.</w:t>
      </w:r>
    </w:p>
    <w:p>
      <w:r>
        <w:rPr>
          <w:b/>
          <w:color w:val="BF8F00"/>
        </w:rPr>
        <w:t>⚠ If the file is missing GrossAmountBase/GrpDue entirely, the tool won't error loudly — it will just silently score low on every sheet and may pick the wrong one, or produce all-zero amounts. If a demo file looks empty, check the raw column names first.</w:t>
      </w:r>
    </w:p>
    <w:p>
      <w:pPr>
        <w:pStyle w:val="Heading2"/>
      </w:pPr>
      <w:r>
        <w:t>Q6. What's "Starting Quarter" and the auto-locked "As of Date"?</w:t>
      </w:r>
    </w:p>
    <w:p>
      <w:r>
        <w:rPr>
          <w:b w:val="0"/>
          <w:i w:val="0"/>
        </w:rPr>
        <w:t>This is the single biggest operational difference from Orion, and worth explaining proactively:</w:t>
      </w:r>
    </w:p>
    <w:p>
      <w:pPr>
        <w:pStyle w:val="ListBullet"/>
      </w:pPr>
      <w:r>
        <w:t>Orion reads the real snapshot date from the uploaded file itself ("As on Date", cell B14) — whatever date the AR Backlog was actually run for.</w:t>
      </w:r>
    </w:p>
    <w:p>
      <w:pPr>
        <w:pStyle w:val="ListBullet"/>
      </w:pPr>
      <w:r>
        <w:t>Traverse has no such date in its raw export, so instead the UI infers it purely from which quarter you pick in the "Starting Quarter" dropdown:</w:t>
      </w:r>
    </w:p>
    <w:tbl>
      <w:tblPr>
        <w:tblStyle w:val="LightGrid-Accent1"/>
        <w:tblW w:type="auto" w:w="0"/>
        <w:jc w:val="left"/>
        <w:tblLook w:firstColumn="1" w:firstRow="1" w:lastColumn="0" w:lastRow="0" w:noHBand="0" w:noVBand="1" w:val="04A0"/>
      </w:tblPr>
      <w:tblGrid>
        <w:gridCol w:w="4320"/>
        <w:gridCol w:w="4320"/>
      </w:tblGrid>
      <w:tr>
        <w:tc>
          <w:tcPr>
            <w:tcW w:type="dxa" w:w="4320"/>
            <w:shd w:fill="1F4E78"/>
          </w:tcPr>
          <w:p>
            <w:r>
              <w:rPr>
                <w:b/>
                <w:color w:val="FFFFFF"/>
              </w:rPr>
              <w:t>Starting Quarter selected</w:t>
            </w:r>
          </w:p>
        </w:tc>
        <w:tc>
          <w:tcPr>
            <w:tcW w:type="dxa" w:w="4320"/>
            <w:shd w:fill="1F4E78"/>
          </w:tcPr>
          <w:p>
            <w:r>
              <w:rPr>
                <w:b/>
                <w:color w:val="FFFFFF"/>
              </w:rPr>
              <w:t>As of Date used (hardcoded)</w:t>
            </w:r>
          </w:p>
        </w:tc>
      </w:tr>
      <w:tr>
        <w:tc>
          <w:tcPr>
            <w:tcW w:type="dxa" w:w="4320"/>
          </w:tcPr>
          <w:p>
            <w:r>
              <w:t>Q1</w:t>
            </w:r>
          </w:p>
        </w:tc>
        <w:tc>
          <w:tcPr>
            <w:tcW w:type="dxa" w:w="4320"/>
          </w:tcPr>
          <w:p>
            <w:r>
              <w:t>01/01/2026 (start of year)</w:t>
            </w:r>
          </w:p>
        </w:tc>
      </w:tr>
      <w:tr>
        <w:tc>
          <w:tcPr>
            <w:tcW w:type="dxa" w:w="4320"/>
          </w:tcPr>
          <w:p>
            <w:r>
              <w:t>Q2</w:t>
            </w:r>
          </w:p>
        </w:tc>
        <w:tc>
          <w:tcPr>
            <w:tcW w:type="dxa" w:w="4320"/>
          </w:tcPr>
          <w:p>
            <w:r>
              <w:t>31/03/2026 (end of Q1)</w:t>
            </w:r>
          </w:p>
        </w:tc>
      </w:tr>
      <w:tr>
        <w:tc>
          <w:tcPr>
            <w:tcW w:type="dxa" w:w="4320"/>
          </w:tcPr>
          <w:p>
            <w:r>
              <w:t>Q3</w:t>
            </w:r>
          </w:p>
        </w:tc>
        <w:tc>
          <w:tcPr>
            <w:tcW w:type="dxa" w:w="4320"/>
          </w:tcPr>
          <w:p>
            <w:r>
              <w:t>30/06/2026 (end of Q2)</w:t>
            </w:r>
          </w:p>
        </w:tc>
      </w:tr>
      <w:tr>
        <w:tc>
          <w:tcPr>
            <w:tcW w:type="dxa" w:w="4320"/>
          </w:tcPr>
          <w:p>
            <w:r>
              <w:t>Q4</w:t>
            </w:r>
          </w:p>
        </w:tc>
        <w:tc>
          <w:tcPr>
            <w:tcW w:type="dxa" w:w="4320"/>
          </w:tcPr>
          <w:p>
            <w:r>
              <w:t>30/09/2026 (end of Q3)</w:t>
            </w:r>
          </w:p>
        </w:tc>
      </w:tr>
    </w:tbl>
    <w:p>
      <w:r>
        <w:rPr>
          <w:b/>
          <w:color w:val="C00000"/>
        </w:rPr>
        <w:t>⚠ This means the quarter dropdown must match when the Traverse extract was actually pulled — pick the wrong quarter and every aging/not-due bucket in the whole downstream chain is computed against the wrong reference date, silently. There's no cross-check against the file's own dates.</w:t>
      </w:r>
    </w:p>
    <w:p>
      <w:pPr>
        <w:pStyle w:val="Heading2"/>
      </w:pPr>
      <w:r>
        <w:t>Q7. What's the JD / USD "Source Currency" toggle?</w:t>
      </w:r>
    </w:p>
    <w:p>
      <w:r>
        <w:rPr>
          <w:b w:val="0"/>
          <w:i w:val="0"/>
        </w:rPr>
        <w:t>Traverse's raw amounts come in two flavors: GrossAmount (as-is) and GrossAmountBase (JD-converted internally by the source system). The toggle tells the tool which one is already in USD:</w:t>
      </w:r>
    </w:p>
    <w:p>
      <w:pPr>
        <w:pStyle w:val="ListBullet"/>
      </w:pPr>
      <w:r>
        <w:t>"USD" selected → uses GrossAmount as-is.</w:t>
      </w:r>
    </w:p>
    <w:p>
      <w:pPr>
        <w:pStyle w:val="ListBullet"/>
      </w:pPr>
      <w:r>
        <w:t>"JD" selected → uses GrossAmountBase, then divides by 0.71 (i.e. multiplies by ≈1.408) to get USD. 0.71 is a fixed, hardcoded JD/USD rate in the code — not a live FX rate.</w:t>
      </w:r>
    </w:p>
    <w:p>
      <w:r>
        <w:rPr>
          <w:b/>
          <w:color w:val="C00000"/>
        </w:rPr>
        <w:t>⚠ If someone asks "can we update the FX rate" — today that means editing the literal 0.71 in traverse/export.py (_source_currency_factor); there's no config/UI for it.</w:t>
      </w:r>
    </w:p>
    <w:p>
      <w:pPr>
        <w:pStyle w:val="Heading2"/>
      </w:pPr>
      <w:r>
        <w:t>Q8. Where does customer Status (GOOD/REGULAR/SUBSTANDARD/DOUBTFUL) come from?</w:t>
      </w:r>
    </w:p>
    <w:p>
      <w:r>
        <w:rPr>
          <w:b w:val="0"/>
          <w:i w:val="0"/>
        </w:rPr>
        <w:t>Default is always "Regular" for every customer, UNLESS their Traverse CustId exactly matches one of these hardcoded overrides (traverse/rules.py):</w:t>
      </w:r>
    </w:p>
    <w:tbl>
      <w:tblPr>
        <w:tblStyle w:val="LightGrid-Accent1"/>
        <w:tblW w:type="auto" w:w="0"/>
        <w:jc w:val="left"/>
        <w:tblLook w:firstColumn="1" w:firstRow="1" w:lastColumn="0" w:lastRow="0" w:noHBand="0" w:noVBand="1" w:val="04A0"/>
      </w:tblPr>
      <w:tblGrid>
        <w:gridCol w:w="4320"/>
        <w:gridCol w:w="4320"/>
      </w:tblGrid>
      <w:tr>
        <w:tc>
          <w:tcPr>
            <w:tcW w:type="dxa" w:w="4320"/>
            <w:shd w:fill="1F4E78"/>
          </w:tcPr>
          <w:p>
            <w:r>
              <w:rPr>
                <w:b/>
                <w:color w:val="FFFFFF"/>
              </w:rPr>
              <w:t>CustId</w:t>
            </w:r>
          </w:p>
        </w:tc>
        <w:tc>
          <w:tcPr>
            <w:tcW w:type="dxa" w:w="4320"/>
            <w:shd w:fill="1F4E78"/>
          </w:tcPr>
          <w:p>
            <w:r>
              <w:rPr>
                <w:b/>
                <w:color w:val="FFFFFF"/>
              </w:rPr>
              <w:t>Forced Status</w:t>
            </w:r>
          </w:p>
        </w:tc>
      </w:tr>
      <w:tr>
        <w:tc>
          <w:tcPr>
            <w:tcW w:type="dxa" w:w="4320"/>
          </w:tcPr>
          <w:p>
            <w:r>
              <w:t>PCHSCTC</w:t>
            </w:r>
          </w:p>
        </w:tc>
        <w:tc>
          <w:tcPr>
            <w:tcW w:type="dxa" w:w="4320"/>
          </w:tcPr>
          <w:p>
            <w:r>
              <w:t>DOUB_INS_CLA</w:t>
            </w:r>
          </w:p>
        </w:tc>
      </w:tr>
      <w:tr>
        <w:tc>
          <w:tcPr>
            <w:tcW w:type="dxa" w:w="4320"/>
          </w:tcPr>
          <w:p>
            <w:r>
              <w:t>TRDARA</w:t>
            </w:r>
          </w:p>
        </w:tc>
        <w:tc>
          <w:tcPr>
            <w:tcW w:type="dxa" w:w="4320"/>
          </w:tcPr>
          <w:p>
            <w:r>
              <w:t>DOUBTFUL</w:t>
            </w:r>
          </w:p>
        </w:tc>
      </w:tr>
      <w:tr>
        <w:tc>
          <w:tcPr>
            <w:tcW w:type="dxa" w:w="4320"/>
          </w:tcPr>
          <w:p>
            <w:r>
              <w:t>TRMIX</w:t>
            </w:r>
          </w:p>
        </w:tc>
        <w:tc>
          <w:tcPr>
            <w:tcW w:type="dxa" w:w="4320"/>
          </w:tcPr>
          <w:p>
            <w:r>
              <w:t>DOUBTFUL</w:t>
            </w:r>
          </w:p>
        </w:tc>
      </w:tr>
      <w:tr>
        <w:tc>
          <w:tcPr>
            <w:tcW w:type="dxa" w:w="4320"/>
          </w:tcPr>
          <w:p>
            <w:r>
              <w:t>INTEC</w:t>
            </w:r>
          </w:p>
        </w:tc>
        <w:tc>
          <w:tcPr>
            <w:tcW w:type="dxa" w:w="4320"/>
          </w:tcPr>
          <w:p>
            <w:r>
              <w:t>DOUBTFUL</w:t>
            </w:r>
          </w:p>
        </w:tc>
      </w:tr>
    </w:tbl>
    <w:p>
      <w:r>
        <w:rPr>
          <w:b w:val="0"/>
          <w:i w:val="0"/>
        </w:rPr>
        <w:t>That's the entire list today — 4 customers. Every other CustId, no matter how old/large/overdue its balance, comes out as "Regular". This is very likely to come up ("why isn't customer X marked doubtful") — the answer is: add their CustId to STATUS_BY_CUSTOMER_CODE in traverse/rules.py.</w:t>
      </w:r>
    </w:p>
    <w:p>
      <w:r>
        <w:rPr>
          <w:b w:val="0"/>
          <w:i w:val="0"/>
        </w:rPr>
        <w:t>Status matters downstream: only GOOD / REGULAR / SUBSTANDARD customers get a forward-looking collections forecast; DOUBTFUL / DOUB_INS_CLA customers are excluded from the quarter Collections FC columns and from the Not-Due sub-bucket breakdown (see Q13) — but they are NOT excluded from the provision calculation itself, which still runs on their real aging exposure.</w:t>
      </w:r>
    </w:p>
    <w:p>
      <w:pPr>
        <w:pStyle w:val="Heading2"/>
      </w:pPr>
      <w:r>
        <w:t>Q9. Where does Main Account come from?</w:t>
      </w:r>
    </w:p>
    <w:p>
      <w:r>
        <w:rPr>
          <w:b w:val="0"/>
          <w:i w:val="0"/>
        </w:rPr>
        <w:t>Same idea — default "12301", overridden only for a hardcoded list of ~19 CustIds to "12305" (mostly Mindware/PC-prefixed and a few partner codes — see MAIN_ACCOUNT_BY_CUSTOMER_CODE in traverse/rules.py for the exact list).</w:t>
      </w:r>
    </w:p>
    <w:p>
      <w:r>
        <w:rPr>
          <w:b/>
          <w:color w:val="C00000"/>
        </w:rPr>
        <w:t>⚠ The three Main Accounts that trigger automatic collection-blocking elsewhere in the system are 12302 / 12304 / 12306 — but Traverse only ever assigns 12301 or 12305. So that specific blocking rule can never actually fire for Traverse-sourced data today. If someone asks why a 12305 account isn't being blocked the way a legacy 12302 account would be, that's why — it's not wired up for Traverse's own account codes.</w:t>
      </w:r>
    </w:p>
    <w:p>
      <w:pPr>
        <w:pStyle w:val="Heading2"/>
      </w:pPr>
      <w:r>
        <w:t>Q10. Where does Customer Region come from?</w:t>
      </w:r>
    </w:p>
    <w:p>
      <w:r>
        <w:rPr>
          <w:b w:val="0"/>
          <w:i w:val="0"/>
        </w:rPr>
        <w:t>Looked up from the raw "Country" field via REGION_BY_COUNTRY (traverse/rules.py) — a country-code to region-name map covering ~20 country codes (JOR→Jordan, ARE/UAE→UAE, SAU→Saudi Arabia, EGY→EGYPT, IRQ→IRAQ, several African/French countries, etc). Unmapped country codes come back blank. This feeds the By_Customer column "Cust Region".</w:t>
      </w:r>
    </w:p>
    <w:p>
      <w:r>
        <w:rPr>
          <w:b/>
          <w:color w:val="C00000"/>
        </w:rPr>
        <w:t>⚠ Separately, there is a "Region" field (different from "Cust Region") that Traverse currently hardcodes to the literal placeholder string "Qnal" for every single row, no matter the country. This flows straight through customer_summary() into By_Customer's own "Region" column, and from there into BUD2026's "Sales Budget region" column UNCHANGED — because the BUD2026 mapper trusts any non-blank "Region" value verbatim instead of falling back to deriving a real region. Net effect: today, every Traverse-sourced customer will show Sales Budget region = "Qnal" in the BUD2026 output and on the management Dashboard's region breakdown. This is very likely to be noticed and questioned live. I flagged this to Zaynab as something to decide on (fix vs. leave as a placeholder) — it has not been changed as of this doc.</w:t>
      </w:r>
    </w:p>
    <w:p>
      <w:pPr>
        <w:pStyle w:val="Heading2"/>
      </w:pPr>
      <w:r>
        <w:t>Q11. What are the aging buckets and "Not Due" sub-buckets, exactly?</w:t>
      </w:r>
    </w:p>
    <w:p>
      <w:r>
        <w:rPr>
          <w:b w:val="0"/>
          <w:i w:val="0"/>
        </w:rPr>
        <w:t>Two parallel things get computed from (days from due date = As-of-Date minus Document Due Date):</w:t>
      </w:r>
    </w:p>
    <w:p>
      <w:pPr>
        <w:pStyle w:val="Heading3"/>
      </w:pPr>
      <w:r>
        <w:t>Aging buckets (already overdue, days &gt; 0) — these feed columns P:U:</w:t>
      </w:r>
    </w:p>
    <w:tbl>
      <w:tblPr>
        <w:tblStyle w:val="LightGrid-Accent1"/>
        <w:tblW w:type="auto" w:w="0"/>
        <w:jc w:val="left"/>
        <w:tblLook w:firstColumn="1" w:firstRow="1" w:lastColumn="0" w:lastRow="0" w:noHBand="0" w:noVBand="1" w:val="04A0"/>
      </w:tblPr>
      <w:tblGrid>
        <w:gridCol w:w="4320"/>
        <w:gridCol w:w="4320"/>
      </w:tblGrid>
      <w:tr>
        <w:tc>
          <w:tcPr>
            <w:tcW w:type="dxa" w:w="4320"/>
            <w:shd w:fill="1F4E78"/>
          </w:tcPr>
          <w:p>
            <w:r>
              <w:rPr>
                <w:b/>
                <w:color w:val="FFFFFF"/>
              </w:rPr>
              <w:t>Bucket</w:t>
            </w:r>
          </w:p>
        </w:tc>
        <w:tc>
          <w:tcPr>
            <w:tcW w:type="dxa" w:w="4320"/>
            <w:shd w:fill="1F4E78"/>
          </w:tcPr>
          <w:p>
            <w:r>
              <w:rPr>
                <w:b/>
                <w:color w:val="FFFFFF"/>
              </w:rPr>
              <w:t>Day range (overdue)</w:t>
            </w:r>
          </w:p>
        </w:tc>
      </w:tr>
      <w:tr>
        <w:tc>
          <w:tcPr>
            <w:tcW w:type="dxa" w:w="4320"/>
          </w:tcPr>
          <w:p>
            <w:r>
              <w:t>Aging 1 to 30</w:t>
            </w:r>
          </w:p>
        </w:tc>
        <w:tc>
          <w:tcPr>
            <w:tcW w:type="dxa" w:w="4320"/>
          </w:tcPr>
          <w:p>
            <w:r>
              <w:t>1–30</w:t>
            </w:r>
          </w:p>
        </w:tc>
      </w:tr>
      <w:tr>
        <w:tc>
          <w:tcPr>
            <w:tcW w:type="dxa" w:w="4320"/>
          </w:tcPr>
          <w:p>
            <w:r>
              <w:t>Aging 31 to 60</w:t>
            </w:r>
          </w:p>
        </w:tc>
        <w:tc>
          <w:tcPr>
            <w:tcW w:type="dxa" w:w="4320"/>
          </w:tcPr>
          <w:p>
            <w:r>
              <w:t>31–60</w:t>
            </w:r>
          </w:p>
        </w:tc>
      </w:tr>
      <w:tr>
        <w:tc>
          <w:tcPr>
            <w:tcW w:type="dxa" w:w="4320"/>
          </w:tcPr>
          <w:p>
            <w:r>
              <w:t>Aging 61 to 90</w:t>
            </w:r>
          </w:p>
        </w:tc>
        <w:tc>
          <w:tcPr>
            <w:tcW w:type="dxa" w:w="4320"/>
          </w:tcPr>
          <w:p>
            <w:r>
              <w:t>61–90</w:t>
            </w:r>
          </w:p>
        </w:tc>
      </w:tr>
      <w:tr>
        <w:tc>
          <w:tcPr>
            <w:tcW w:type="dxa" w:w="4320"/>
          </w:tcPr>
          <w:p>
            <w:r>
              <w:t>Aging 91 to 120</w:t>
            </w:r>
          </w:p>
        </w:tc>
        <w:tc>
          <w:tcPr>
            <w:tcW w:type="dxa" w:w="4320"/>
          </w:tcPr>
          <w:p>
            <w:r>
              <w:t>91–120</w:t>
            </w:r>
          </w:p>
        </w:tc>
      </w:tr>
      <w:tr>
        <w:tc>
          <w:tcPr>
            <w:tcW w:type="dxa" w:w="4320"/>
          </w:tcPr>
          <w:p>
            <w:r>
              <w:t>Aging 121 to 150</w:t>
            </w:r>
          </w:p>
        </w:tc>
        <w:tc>
          <w:tcPr>
            <w:tcW w:type="dxa" w:w="4320"/>
          </w:tcPr>
          <w:p>
            <w:r>
              <w:t>121–150</w:t>
            </w:r>
          </w:p>
        </w:tc>
      </w:tr>
      <w:tr>
        <w:tc>
          <w:tcPr>
            <w:tcW w:type="dxa" w:w="4320"/>
          </w:tcPr>
          <w:p>
            <w:r>
              <w:t>Aging &gt;=151</w:t>
            </w:r>
          </w:p>
        </w:tc>
        <w:tc>
          <w:tcPr>
            <w:tcW w:type="dxa" w:w="4320"/>
          </w:tcPr>
          <w:p>
            <w:r>
              <w:t>151+</w:t>
            </w:r>
          </w:p>
        </w:tc>
      </w:tr>
    </w:tbl>
    <w:p>
      <w:pPr>
        <w:pStyle w:val="Heading3"/>
      </w:pPr>
      <w:r>
        <w:t>Not-Due sub-buckets (not yet due, days ≤ 0) — these feed columns K:O:</w:t>
      </w:r>
    </w:p>
    <w:tbl>
      <w:tblPr>
        <w:tblStyle w:val="LightGrid-Accent1"/>
        <w:tblW w:type="auto" w:w="0"/>
        <w:jc w:val="left"/>
        <w:tblLook w:firstColumn="1" w:firstRow="1" w:lastColumn="0" w:lastRow="0" w:noHBand="0" w:noVBand="1" w:val="04A0"/>
      </w:tblPr>
      <w:tblGrid>
        <w:gridCol w:w="4320"/>
        <w:gridCol w:w="4320"/>
      </w:tblGrid>
      <w:tr>
        <w:tc>
          <w:tcPr>
            <w:tcW w:type="dxa" w:w="4320"/>
            <w:shd w:fill="1F4E78"/>
          </w:tcPr>
          <w:p>
            <w:r>
              <w:rPr>
                <w:b/>
                <w:color w:val="FFFFFF"/>
              </w:rPr>
              <w:t>Bucket</w:t>
            </w:r>
          </w:p>
        </w:tc>
        <w:tc>
          <w:tcPr>
            <w:tcW w:type="dxa" w:w="4320"/>
            <w:shd w:fill="1F4E78"/>
          </w:tcPr>
          <w:p>
            <w:r>
              <w:rPr>
                <w:b/>
                <w:color w:val="FFFFFF"/>
              </w:rPr>
              <w:t>Days until due</w:t>
            </w:r>
          </w:p>
        </w:tc>
      </w:tr>
      <w:tr>
        <w:tc>
          <w:tcPr>
            <w:tcW w:type="dxa" w:w="4320"/>
          </w:tcPr>
          <w:p>
            <w:r>
              <w:t>Not Due 0-30 days</w:t>
            </w:r>
          </w:p>
        </w:tc>
        <w:tc>
          <w:tcPr>
            <w:tcW w:type="dxa" w:w="4320"/>
          </w:tcPr>
          <w:p>
            <w:r>
              <w:t>0 to -30 (due within 30 days)</w:t>
            </w:r>
          </w:p>
        </w:tc>
      </w:tr>
      <w:tr>
        <w:tc>
          <w:tcPr>
            <w:tcW w:type="dxa" w:w="4320"/>
          </w:tcPr>
          <w:p>
            <w:r>
              <w:t>Not Due 31-60 days</w:t>
            </w:r>
          </w:p>
        </w:tc>
        <w:tc>
          <w:tcPr>
            <w:tcW w:type="dxa" w:w="4320"/>
          </w:tcPr>
          <w:p>
            <w:r>
              <w:t>-31 to -60</w:t>
            </w:r>
          </w:p>
        </w:tc>
      </w:tr>
      <w:tr>
        <w:tc>
          <w:tcPr>
            <w:tcW w:type="dxa" w:w="4320"/>
          </w:tcPr>
          <w:p>
            <w:r>
              <w:t>Not Due 61-90 days</w:t>
            </w:r>
          </w:p>
        </w:tc>
        <w:tc>
          <w:tcPr>
            <w:tcW w:type="dxa" w:w="4320"/>
          </w:tcPr>
          <w:p>
            <w:r>
              <w:t>-61 to -90</w:t>
            </w:r>
          </w:p>
        </w:tc>
      </w:tr>
      <w:tr>
        <w:tc>
          <w:tcPr>
            <w:tcW w:type="dxa" w:w="4320"/>
          </w:tcPr>
          <w:p>
            <w:r>
              <w:t>Not Due 91-180 days</w:t>
            </w:r>
          </w:p>
        </w:tc>
        <w:tc>
          <w:tcPr>
            <w:tcW w:type="dxa" w:w="4320"/>
          </w:tcPr>
          <w:p>
            <w:r>
              <w:t>-91 to -180</w:t>
            </w:r>
          </w:p>
        </w:tc>
      </w:tr>
      <w:tr>
        <w:tc>
          <w:tcPr>
            <w:tcW w:type="dxa" w:w="4320"/>
          </w:tcPr>
          <w:p>
            <w:r>
              <w:t>Not Due 180+ days</w:t>
            </w:r>
          </w:p>
        </w:tc>
        <w:tc>
          <w:tcPr>
            <w:tcW w:type="dxa" w:w="4320"/>
          </w:tcPr>
          <w:p>
            <w:r>
              <w:t>beyond -180 (due far in the future)</w:t>
            </w:r>
          </w:p>
        </w:tc>
      </w:tr>
    </w:tbl>
    <w:p>
      <w:r>
        <w:rPr>
          <w:b w:val="0"/>
          <w:i w:val="0"/>
        </w:rPr>
        <w:t>These two sets are independent of each other and independent of the on-account/credit amount (negative balances are carried separately and excluded from both).</w:t>
      </w:r>
    </w:p>
    <w:p>
      <w:pPr>
        <w:pStyle w:val="Heading2"/>
      </w:pPr>
      <w:r>
        <w:t>Q12. Some customers get zeroed out of the quarter collection forecast — why?</w:t>
      </w:r>
    </w:p>
    <w:p>
      <w:r>
        <w:rPr>
          <w:b w:val="0"/>
          <w:i w:val="0"/>
        </w:rPr>
        <w:t>Three separate rules, all re-applied identically in both the By_Customer builder and again inside the BUD2026 mapper (belt-and-braces, so the final file is correct even if someone hand-edits By_Customer in between):</w:t>
      </w:r>
    </w:p>
    <w:p>
      <w:pPr>
        <w:pStyle w:val="ListBullet"/>
      </w:pPr>
      <w:r>
        <w:rPr>
          <w:b/>
        </w:rPr>
        <w:t xml:space="preserve">1. Keyword-blocked customer — </w:t>
      </w:r>
      <w:r>
        <w:t>Customer Name contains MINDWARE, AKLANIAT, or IFIX (case-insensitive substring match on Cust Name).</w:t>
      </w:r>
    </w:p>
    <w:p>
      <w:pPr>
        <w:pStyle w:val="ListBullet"/>
      </w:pPr>
      <w:r>
        <w:rPr>
          <w:b/>
        </w:rPr>
        <w:t xml:space="preserve">2. Blocked Main Account — </w:t>
      </w:r>
      <w:r>
        <w:t>Main Account is 12302, 12304, or 12306 (see Q9 — never actually fires for Traverse data today).</w:t>
      </w:r>
    </w:p>
    <w:p>
      <w:pPr>
        <w:pStyle w:val="ListBullet"/>
      </w:pPr>
      <w:r>
        <w:rPr>
          <w:b/>
        </w:rPr>
        <w:t xml:space="preserve">3. Blocked Status — </w:t>
      </w:r>
      <w:r>
        <w:t>Updated Status is anything other than GOOD, REGULAR, or SUBSTANDARD (i.e. DOUBTFUL / DOUB_INS_CLA) — see Q8.</w:t>
      </w:r>
    </w:p>
    <w:p>
      <w:r>
        <w:rPr>
          <w:b w:val="0"/>
          <w:i w:val="0"/>
        </w:rPr>
        <w:t>Important nuance: blocking only zeroes the forward-looking collections/not-due columns. It does NOT zero the customer's Aging bucket exposure or its BUD2026 provision calculation — a blocked customer still shows up fully provisioned for its real overdue balance, it just won't get a collections forecast number.</w:t>
      </w:r>
    </w:p>
    <w:p>
      <w:pPr>
        <w:pStyle w:val="Heading2"/>
      </w:pPr>
      <w:r>
        <w:t>Q13. What's on "Traverse_AR" vs "By_Customer", and why two tabs in the download?</w:t>
      </w:r>
    </w:p>
    <w:p>
      <w:r>
        <w:rPr>
          <w:b w:val="0"/>
          <w:i w:val="0"/>
        </w:rPr>
        <w:t>export_traverse_ar() writes a single workbook with two sheets:</w:t>
      </w:r>
    </w:p>
    <w:p>
      <w:pPr>
        <w:pStyle w:val="ListBullet"/>
      </w:pPr>
      <w:r>
        <w:rPr>
          <w:b/>
        </w:rPr>
        <w:t xml:space="preserve">Traverse_AR — </w:t>
      </w:r>
      <w:r>
        <w:t>Every raw input column, unchanged, plus 16 appended columns (Days from due date, Status, Customer Region, Main Account, invoice value - USD, Aging Term, Customer Type, % of Depreciation, Advance from customer, Amount - JD, Provision, Credit Limit Coface, Provision - With Coface, Balance, Balance V1, Count). This is Traverse's own, self-contained, invoice-level working sheet — think of it as the equivalent of the raw AR Backlog file Orion would have started from.</w:t>
      </w:r>
    </w:p>
    <w:p>
      <w:pPr>
        <w:pStyle w:val="ListBullet"/>
      </w:pPr>
      <w:r>
        <w:rPr>
          <w:b/>
        </w:rPr>
        <w:t xml:space="preserve">By_Customer — </w:t>
      </w:r>
      <w:r>
        <w:t>Built by feeding a synthetic customer-level table through the exact same customer_summary() function Orion uses. This is the ONLY sheet that Tool 2/BUD2026 actually consumes.</w:t>
      </w:r>
    </w:p>
    <w:p>
      <w:pPr>
        <w:pStyle w:val="Heading2"/>
      </w:pPr>
      <w:r>
        <w:t>Q14. Is the "Provision" / "Provision - With Coface" / "Credit Limit Coface" on Traverse_AR the real number?</w:t>
      </w:r>
    </w:p>
    <w:p>
      <w:r>
        <w:rPr>
          <w:b/>
          <w:color w:val="C00000"/>
        </w:rPr>
        <w:t>⚠ No — and this is an important one to get ahead of. Those three columns are a completely separate, informal Traverse-side estimate (its own depreciation-bucket rate table: 3% / 25% / 50% / 75% / 100% by day range, with its own affiliated-customer and Coface-limit logic). They are NOT read by By_Customer or by BUD2026 at all — By_Customer only pulls the aging/not-due dollar amounts, never these provision columns. BUD2026's own "AR Provision FC" (Part 3) is computed independently, from the master template's own rate schedule and formulas. The two numbers can legitimately differ, and that is expected, not a bug.</w:t>
      </w:r>
    </w:p>
    <w:p>
      <w:r>
        <w:rPr>
          <w:b w:val="0"/>
          <w:i w:val="0"/>
        </w:rPr>
        <w:t>Also worth knowing: "Credit Limit Coface" is always 0 today — its lookup table (COFACE_LIMIT_BY_CUSTNAME in traverse/rules.py) is intentionally empty, a placeholder for when real Coface limits are available per customer.</w:t>
      </w:r>
    </w:p>
    <w:p>
      <w:pPr>
        <w:pStyle w:val="Heading2"/>
      </w:pPr>
      <w:r>
        <w:t>Q15. What about on-account / credit balances (negative amounts)?</w:t>
      </w:r>
    </w:p>
    <w:p>
      <w:r>
        <w:rPr>
          <w:b w:val="0"/>
          <w:i w:val="0"/>
        </w:rPr>
        <w:t>A negative GrossAmountBase (or GrossAmount, if USD source) is treated as a credit / advance from the customer: it's excluded from every aging and not-due bucket, shown under "On Account" / "Advance from customer", and reduces AR Balance directly (can make AR Balance negative for a customer, which is valid and expected — the worked example's CUST-F below is exactly this case).</w:t>
      </w:r>
    </w:p>
    <w:p>
      <w:pPr>
        <w:pStyle w:val="Heading1"/>
      </w:pPr>
      <w:r>
        <w:t>PART 3 — Tool 2 (BUD2026 from By_Customer)</w:t>
      </w:r>
    </w:p>
    <w:p>
      <w:pPr>
        <w:pStyle w:val="Heading2"/>
      </w:pPr>
      <w:r>
        <w:t>Q16. What do I upload, and can I combine multiple By_Customer files?</w:t>
      </w:r>
    </w:p>
    <w:p>
      <w:r>
        <w:rPr>
          <w:b w:val="0"/>
          <w:i w:val="0"/>
        </w:rPr>
        <w:t>Two uploads: one or more By_Customer files (Orion or Traverse output — the tool doesn't care which produced it, it only reads the By_Customer sheet shape), and one Insurance Master file. Multiple By_Customer files get concatenated as-is (rows are NOT merged/deduplicated across files even if the same customer appears twice), and the tool requires all uploaded files to auto-detect the same starting quarter — it will error out with a clear message if they disagree.</w:t>
      </w:r>
    </w:p>
    <w:p>
      <w:pPr>
        <w:pStyle w:val="Heading2"/>
      </w:pPr>
      <w:r>
        <w:t>Q17. What's "AR Data Date" here, and how is it different from Tool 1's As-of Date?</w:t>
      </w:r>
    </w:p>
    <w:p>
      <w:r>
        <w:rPr>
          <w:b/>
          <w:color w:val="C00000"/>
        </w:rPr>
        <w:t>⚠ This is the second big operational gotcha to explain proactively. Tool 2's "AR Data Date" field is a completely separate, manually-entered date input that defaults to TODAY — it is NOT read from the uploaded By_Customer file and does NOT auto-fill from whatever quarter/as-of-date you picked in Tool 1. You must set it yourself to match. If it doesn't match Tool 1's as-of date, the "Period ended ..." title and the quarter-gating (next point) will be internally inconsistent with the aging data actually in the file.</w:t>
      </w:r>
    </w:p>
    <w:p>
      <w:r>
        <w:rPr>
          <w:b w:val="0"/>
          <w:i w:val="0"/>
        </w:rPr>
        <w:t>What it actually drives: it's written to cell ALL!B5, and:</w:t>
      </w:r>
    </w:p>
    <w:p>
      <w:pPr>
        <w:pStyle w:val="ListBullet"/>
      </w:pPr>
      <w:r>
        <w:t>Any quarter whose end date is on or before AR Data Date is treated as already elapsed — its Collections FC / Specific Alloc / Provision Effect / AR Provision FC formulas all self-gate to 0, on the logic that its effect is already baked into the (smaller, real) AR balance you uploaded.</w:t>
      </w:r>
    </w:p>
    <w:p>
      <w:pPr>
        <w:pStyle w:val="ListBullet"/>
      </w:pPr>
      <w:r>
        <w:t>The title row 3 shows "Period ended &lt;date&gt;" = the latest FY2026 quarter-end strictly before AR Data Date (e.g. AR Data Date = 15-Jul-2026 → "Period ended June 30, 2026").</w:t>
      </w:r>
    </w:p>
    <w:p>
      <w:pPr>
        <w:pStyle w:val="Heading2"/>
      </w:pPr>
      <w:r>
        <w:t>Q18. What's the Insurance Master, and which format for Traverse?</w:t>
      </w:r>
    </w:p>
    <w:p>
      <w:r>
        <w:rPr>
          <w:b w:val="0"/>
          <w:i w:val="0"/>
        </w:rPr>
        <w:t>The loader (budg/insurance_master.py) auto-detects which of two formats you uploaded, scanning every sheet/header-row combination:</w:t>
      </w:r>
    </w:p>
    <w:p>
      <w:pPr>
        <w:pStyle w:val="ListBullet"/>
      </w:pPr>
      <w:r>
        <w:rPr>
          <w:b/>
        </w:rPr>
        <w:t xml:space="preserve">Budg-style — </w:t>
      </w:r>
      <w:r>
        <w:t>Columns: Customer Code + Main Account + Insurance Limit (aliases like Cust Code, Main Ac, Limit are also accepted). Matches at the (Customer, Main Account) grain.</w:t>
      </w:r>
    </w:p>
    <w:p>
      <w:pPr>
        <w:pStyle w:val="ListBullet"/>
      </w:pPr>
      <w:r>
        <w:rPr>
          <w:b/>
        </w:rPr>
        <w:t xml:space="preserve">Traverse-style — </w:t>
      </w:r>
      <w:r>
        <w:t>Columns: "Customer reference" + "Amount agreed" only — no Main Account column at all. For tomorrow's Traverse demo, THIS is the format to bring. Because there's no Main Account in this format, it can only ever match at the Customer Code level (Main Account is stored blank), so if one customer legitimately has two different main accounts with two different insurance limits, this format can't distinguish them — it'll apply the same single limit to both.</w:t>
      </w:r>
    </w:p>
    <w:p>
      <w:pPr>
        <w:pStyle w:val="Heading2"/>
      </w:pPr>
      <w:r>
        <w:t>Q19. What happens if a customer isn't in the insurance master?</w:t>
      </w:r>
    </w:p>
    <w:p>
      <w:r>
        <w:rPr>
          <w:b w:val="0"/>
          <w:i w:val="0"/>
        </w:rPr>
        <w:t>Insurance defaults to 0 (never left blank) — the model's MIN(balance, insurance) chains always need a number. Matching logic: first try an exact (Customer Code, Main Account) match; if that misses, fall back to matching by Customer Code alone (first row wins on duplicates).</w:t>
      </w:r>
    </w:p>
    <w:p>
      <w:pPr>
        <w:pStyle w:val="Heading2"/>
      </w:pPr>
      <w:r>
        <w:t>Q20. Collections FC (FIFO) vs Specific Allocation — what's the difference, and why can't I fill both?</w:t>
      </w:r>
    </w:p>
    <w:p>
      <w:r>
        <w:rPr>
          <w:b w:val="0"/>
          <w:i w:val="0"/>
        </w:rPr>
        <w:t>Both are ways of telling the model "this much will be / was collected this quarter", but they net differently against aging buckets:</w:t>
      </w:r>
    </w:p>
    <w:p>
      <w:pPr>
        <w:pStyle w:val="ListBullet"/>
      </w:pPr>
      <w:r>
        <w:rPr>
          <w:b/>
        </w:rPr>
        <w:t xml:space="preserve">Collections FC (FIFO) — </w:t>
      </w:r>
      <w:r>
        <w:t>A single number per quarter; the model consumes it against the OLDEST money first (oldest bucket down to Not Due), first-in-first-out.</w:t>
      </w:r>
    </w:p>
    <w:p>
      <w:pPr>
        <w:pStyle w:val="ListBullet"/>
      </w:pPr>
      <w:r>
        <w:rPr>
          <w:b/>
        </w:rPr>
        <w:t xml:space="preserve">Specific Alloc — </w:t>
      </w:r>
      <w:r>
        <w:t>Seven separate inputs, one per aging/not-due bucket (&gt;=151, 121-150, 91-120, 61-90, 31-60, 1-30, Not Due), for when you know exactly which aging tier the money came from rather than assuming oldest-first.</w:t>
      </w:r>
    </w:p>
    <w:p>
      <w:r>
        <w:rPr>
          <w:b w:val="0"/>
          <w:i w:val="0"/>
        </w:rPr>
        <w:t>The master file has two built-in Excel data-validation rules per quarter block enforcing "don't fill both for the same row/quarter" — if you type a FIFO number, Excel will flag an error if you also try to type any Specific Alloc number for that same row and quarter (and vice-versa), because using both would double-count the collection.</w:t>
      </w:r>
    </w:p>
    <w:p>
      <w:r>
        <w:rPr>
          <w:b w:val="0"/>
          <w:i w:val="0"/>
        </w:rPr>
        <w:t>For Traverse-sourced rows specifically: Collections FC is pre-filled automatically from the current quarter's "Forecasted &lt;Q&gt; collection" column already present in By_Customer (an Excel-formula-driven value there), and stays freely editable afterward. Specific Alloc and Actual Collection are always left blank for manual entry.</w:t>
      </w:r>
    </w:p>
    <w:p>
      <w:pPr>
        <w:pStyle w:val="Heading2"/>
      </w:pPr>
      <w:r>
        <w:t>Q21. What do Expected AR / Provision Effect / AR Provision FC / Actual AR Provision / Variance mean?</w:t>
      </w:r>
    </w:p>
    <w:tbl>
      <w:tblPr>
        <w:tblStyle w:val="LightGrid-Accent1"/>
        <w:tblW w:type="auto" w:w="0"/>
        <w:jc w:val="left"/>
        <w:tblLook w:firstColumn="1" w:firstRow="1" w:lastColumn="0" w:lastRow="0" w:noHBand="0" w:noVBand="1" w:val="04A0"/>
      </w:tblPr>
      <w:tblGrid>
        <w:gridCol w:w="4320"/>
        <w:gridCol w:w="4320"/>
      </w:tblGrid>
      <w:tr>
        <w:tc>
          <w:tcPr>
            <w:tcW w:type="dxa" w:w="4320"/>
            <w:shd w:fill="1F4E78"/>
          </w:tcPr>
          <w:p>
            <w:r>
              <w:rPr>
                <w:b/>
                <w:color w:val="FFFFFF"/>
              </w:rPr>
              <w:t>Column</w:t>
            </w:r>
          </w:p>
        </w:tc>
        <w:tc>
          <w:tcPr>
            <w:tcW w:type="dxa" w:w="4320"/>
            <w:shd w:fill="1F4E78"/>
          </w:tcPr>
          <w:p>
            <w:r>
              <w:rPr>
                <w:b/>
                <w:color w:val="FFFFFF"/>
              </w:rPr>
              <w:t>Meaning</w:t>
            </w:r>
          </w:p>
        </w:tc>
      </w:tr>
      <w:tr>
        <w:tc>
          <w:tcPr>
            <w:tcW w:type="dxa" w:w="4320"/>
          </w:tcPr>
          <w:p>
            <w:r>
              <w:t>Expected AR</w:t>
            </w:r>
          </w:p>
        </w:tc>
        <w:tc>
          <w:tcPr>
            <w:tcW w:type="dxa" w:w="4320"/>
          </w:tcPr>
          <w:p>
            <w:r>
              <w:t>AR Balance minus everything already collected/allocated for that quarter (and prior quarters) — i.e. what's still expected to be outstanding.</w:t>
            </w:r>
          </w:p>
        </w:tc>
      </w:tr>
      <w:tr>
        <w:tc>
          <w:tcPr>
            <w:tcW w:type="dxa" w:w="4320"/>
          </w:tcPr>
          <w:p>
            <w:r>
              <w:t>Provision Effect</w:t>
            </w:r>
          </w:p>
        </w:tc>
        <w:tc>
          <w:tcPr>
            <w:tcW w:type="dxa" w:w="4320"/>
          </w:tcPr>
          <w:p>
            <w:r>
              <w:t>The CHANGE in provision this quarter: AR Provision FC minus last period's provision (either the manual W snapshot if this is the first active quarter, or the prior quarter's own AR Provision FC otherwise).</w:t>
            </w:r>
          </w:p>
        </w:tc>
      </w:tr>
      <w:tr>
        <w:tc>
          <w:tcPr>
            <w:tcW w:type="dxa" w:w="4320"/>
          </w:tcPr>
          <w:p>
            <w:r>
              <w:t>AR Provision FC</w:t>
            </w:r>
          </w:p>
        </w:tc>
        <w:tc>
          <w:tcPr>
            <w:tcW w:type="dxa" w:w="4320"/>
          </w:tcPr>
          <w:p>
            <w:r>
              <w:t>The forecasted provision AT THE END of this quarter — always an end-of-quarter number, even for the currently-elapsing quarter (see Q23).</w:t>
            </w:r>
          </w:p>
        </w:tc>
      </w:tr>
      <w:tr>
        <w:tc>
          <w:tcPr>
            <w:tcW w:type="dxa" w:w="4320"/>
          </w:tcPr>
          <w:p>
            <w:r>
              <w:t>Actual Collection</w:t>
            </w:r>
          </w:p>
        </w:tc>
        <w:tc>
          <w:tcPr>
            <w:tcW w:type="dxa" w:w="4320"/>
          </w:tcPr>
          <w:p>
            <w:r>
              <w:t>Manual input: what was actually collected, once the quarter has closed.</w:t>
            </w:r>
          </w:p>
        </w:tc>
      </w:tr>
      <w:tr>
        <w:tc>
          <w:tcPr>
            <w:tcW w:type="dxa" w:w="4320"/>
          </w:tcPr>
          <w:p>
            <w:r>
              <w:t>Expected AR - Actual</w:t>
            </w:r>
          </w:p>
        </w:tc>
        <w:tc>
          <w:tcPr>
            <w:tcW w:type="dxa" w:w="4320"/>
          </w:tcPr>
          <w:p>
            <w:r>
              <w:t>Expected AR compared against the actual collection, once entered.</w:t>
            </w:r>
          </w:p>
        </w:tc>
      </w:tr>
      <w:tr>
        <w:tc>
          <w:tcPr>
            <w:tcW w:type="dxa" w:w="4320"/>
          </w:tcPr>
          <w:p>
            <w:r>
              <w:t>Actual AR Provision</w:t>
            </w:r>
          </w:p>
        </w:tc>
        <w:tc>
          <w:tcPr>
            <w:tcW w:type="dxa" w:w="4320"/>
          </w:tcPr>
          <w:p>
            <w:r>
              <w:t>Provision recomputed using the ACTUAL collection instead of the forecast, once the quarter has closed.</w:t>
            </w:r>
          </w:p>
        </w:tc>
      </w:tr>
      <w:tr>
        <w:tc>
          <w:tcPr>
            <w:tcW w:type="dxa" w:w="4320"/>
          </w:tcPr>
          <w:p>
            <w:r>
              <w:t>Variance Actual vs Forecast</w:t>
            </w:r>
          </w:p>
        </w:tc>
        <w:tc>
          <w:tcPr>
            <w:tcW w:type="dxa" w:w="4320"/>
          </w:tcPr>
          <w:p>
            <w:r>
              <w:t>Actual AR Provision minus AR Provision FC — how far off the forecast was.</w:t>
            </w:r>
          </w:p>
        </w:tc>
      </w:tr>
    </w:tbl>
    <w:p>
      <w:r>
        <w:rPr>
          <w:b w:val="0"/>
          <w:i w:val="0"/>
        </w:rPr>
        <w:t>All of the above are gated to 0 for any quarter whose end date is on/before AR Data Date (see Q17), and to 0 for any row whose Main Ac ≠ 12301 (the master model was built only for that one main account — rows on other main accounts show 0 across the whole formula block).</w:t>
      </w:r>
    </w:p>
    <w:p>
      <w:r>
        <w:rPr>
          <w:b/>
          <w:color w:val="C00000"/>
        </w:rPr>
        <w:t>⚠ Traverse only ever assigns Main Ac = 12301 or 12305 (Q9). Any Traverse customer that landed on 12305 will show ZERO across every single BUD2026 provision/collection formula column, even though it has a real AR balance. Worth knowing before someone asks why a 12305 customer's row is entirely blank in the ALL sheet — it's the model's own $G12&lt;&gt;12301 gate, not a data problem.</w:t>
      </w:r>
    </w:p>
    <w:p>
      <w:pPr>
        <w:pStyle w:val="Heading2"/>
      </w:pPr>
      <w:r>
        <w:t>Q22. How does the provision rate schedule work?</w:t>
      </w:r>
    </w:p>
    <w:p>
      <w:r>
        <w:rPr>
          <w:b w:val="0"/>
          <w:i w:val="0"/>
        </w:rPr>
        <w:t>Row 7 of the ALL sheet (verified live in the demo workbook) holds one flat rate per bucket column, J through U:</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F4E78"/>
          </w:tcPr>
          <w:p>
            <w:r>
              <w:rPr>
                <w:b/>
                <w:color w:val="FFFFFF"/>
              </w:rPr>
              <w:t>Bucket column</w:t>
            </w:r>
          </w:p>
        </w:tc>
        <w:tc>
          <w:tcPr>
            <w:tcW w:type="dxa" w:w="2880"/>
            <w:shd w:fill="1F4E78"/>
          </w:tcPr>
          <w:p>
            <w:r>
              <w:rPr>
                <w:b/>
                <w:color w:val="FFFFFF"/>
              </w:rPr>
              <w:t>What it is</w:t>
            </w:r>
          </w:p>
        </w:tc>
        <w:tc>
          <w:tcPr>
            <w:tcW w:type="dxa" w:w="2880"/>
            <w:shd w:fill="1F4E78"/>
          </w:tcPr>
          <w:p>
            <w:r>
              <w:rPr>
                <w:b/>
                <w:color w:val="FFFFFF"/>
              </w:rPr>
              <w:t>Rate (row 7, at zero elapsed quarters)</w:t>
            </w:r>
          </w:p>
        </w:tc>
      </w:tr>
      <w:tr>
        <w:tc>
          <w:tcPr>
            <w:tcW w:type="dxa" w:w="2880"/>
          </w:tcPr>
          <w:p>
            <w:r>
              <w:t>J</w:t>
            </w:r>
          </w:p>
        </w:tc>
        <w:tc>
          <w:tcPr>
            <w:tcW w:type="dxa" w:w="2880"/>
          </w:tcPr>
          <w:p>
            <w:r>
              <w:t>Not Due (total)</w:t>
            </w:r>
          </w:p>
        </w:tc>
        <w:tc>
          <w:tcPr>
            <w:tcW w:type="dxa" w:w="2880"/>
          </w:tcPr>
          <w:p>
            <w:r>
              <w:t>3%</w:t>
            </w:r>
          </w:p>
        </w:tc>
      </w:tr>
      <w:tr>
        <w:tc>
          <w:tcPr>
            <w:tcW w:type="dxa" w:w="2880"/>
          </w:tcPr>
          <w:p>
            <w:r>
              <w:t>K–O</w:t>
            </w:r>
          </w:p>
        </w:tc>
        <w:tc>
          <w:tcPr>
            <w:tcW w:type="dxa" w:w="2880"/>
          </w:tcPr>
          <w:p>
            <w:r>
              <w:t>Not Due 0-30 / 31-60 / 61-90 / 91-180 / 180+</w:t>
            </w:r>
          </w:p>
        </w:tc>
        <w:tc>
          <w:tcPr>
            <w:tcW w:type="dxa" w:w="2880"/>
          </w:tcPr>
          <w:p>
            <w:r>
              <w:t>3% each</w:t>
            </w:r>
          </w:p>
        </w:tc>
      </w:tr>
      <w:tr>
        <w:tc>
          <w:tcPr>
            <w:tcW w:type="dxa" w:w="2880"/>
          </w:tcPr>
          <w:p>
            <w:r>
              <w:t>P</w:t>
            </w:r>
          </w:p>
        </w:tc>
        <w:tc>
          <w:tcPr>
            <w:tcW w:type="dxa" w:w="2880"/>
          </w:tcPr>
          <w:p>
            <w:r>
              <w:t>Aging 1 to 30</w:t>
            </w:r>
          </w:p>
        </w:tc>
        <w:tc>
          <w:tcPr>
            <w:tcW w:type="dxa" w:w="2880"/>
          </w:tcPr>
          <w:p>
            <w:r>
              <w:t>3%</w:t>
            </w:r>
          </w:p>
        </w:tc>
      </w:tr>
      <w:tr>
        <w:tc>
          <w:tcPr>
            <w:tcW w:type="dxa" w:w="2880"/>
          </w:tcPr>
          <w:p>
            <w:r>
              <w:t>Q</w:t>
            </w:r>
          </w:p>
        </w:tc>
        <w:tc>
          <w:tcPr>
            <w:tcW w:type="dxa" w:w="2880"/>
          </w:tcPr>
          <w:p>
            <w:r>
              <w:t>Aging 31 to 60</w:t>
            </w:r>
          </w:p>
        </w:tc>
        <w:tc>
          <w:tcPr>
            <w:tcW w:type="dxa" w:w="2880"/>
          </w:tcPr>
          <w:p>
            <w:r>
              <w:t>3%</w:t>
            </w:r>
          </w:p>
        </w:tc>
      </w:tr>
      <w:tr>
        <w:tc>
          <w:tcPr>
            <w:tcW w:type="dxa" w:w="2880"/>
          </w:tcPr>
          <w:p>
            <w:r>
              <w:t>R</w:t>
            </w:r>
          </w:p>
        </w:tc>
        <w:tc>
          <w:tcPr>
            <w:tcW w:type="dxa" w:w="2880"/>
          </w:tcPr>
          <w:p>
            <w:r>
              <w:t>Aging 61 to 90</w:t>
            </w:r>
          </w:p>
        </w:tc>
        <w:tc>
          <w:tcPr>
            <w:tcW w:type="dxa" w:w="2880"/>
          </w:tcPr>
          <w:p>
            <w:r>
              <w:t>25%</w:t>
            </w:r>
          </w:p>
        </w:tc>
      </w:tr>
      <w:tr>
        <w:tc>
          <w:tcPr>
            <w:tcW w:type="dxa" w:w="2880"/>
          </w:tcPr>
          <w:p>
            <w:r>
              <w:t>S</w:t>
            </w:r>
          </w:p>
        </w:tc>
        <w:tc>
          <w:tcPr>
            <w:tcW w:type="dxa" w:w="2880"/>
          </w:tcPr>
          <w:p>
            <w:r>
              <w:t>Aging 91 to 120</w:t>
            </w:r>
          </w:p>
        </w:tc>
        <w:tc>
          <w:tcPr>
            <w:tcW w:type="dxa" w:w="2880"/>
          </w:tcPr>
          <w:p>
            <w:r>
              <w:t>50%</w:t>
            </w:r>
          </w:p>
        </w:tc>
      </w:tr>
      <w:tr>
        <w:tc>
          <w:tcPr>
            <w:tcW w:type="dxa" w:w="2880"/>
          </w:tcPr>
          <w:p>
            <w:r>
              <w:t>T</w:t>
            </w:r>
          </w:p>
        </w:tc>
        <w:tc>
          <w:tcPr>
            <w:tcW w:type="dxa" w:w="2880"/>
          </w:tcPr>
          <w:p>
            <w:r>
              <w:t>Aging 121 to 150</w:t>
            </w:r>
          </w:p>
        </w:tc>
        <w:tc>
          <w:tcPr>
            <w:tcW w:type="dxa" w:w="2880"/>
          </w:tcPr>
          <w:p>
            <w:r>
              <w:t>75%</w:t>
            </w:r>
          </w:p>
        </w:tc>
      </w:tr>
      <w:tr>
        <w:tc>
          <w:tcPr>
            <w:tcW w:type="dxa" w:w="2880"/>
          </w:tcPr>
          <w:p>
            <w:r>
              <w:t>U</w:t>
            </w:r>
          </w:p>
        </w:tc>
        <w:tc>
          <w:tcPr>
            <w:tcW w:type="dxa" w:w="2880"/>
          </w:tcPr>
          <w:p>
            <w:r>
              <w:t>Aging &gt;=151</w:t>
            </w:r>
          </w:p>
        </w:tc>
        <w:tc>
          <w:tcPr>
            <w:tcW w:type="dxa" w:w="2880"/>
          </w:tcPr>
          <w:p>
            <w:r>
              <w:t>100%</w:t>
            </w:r>
          </w:p>
        </w:tc>
      </w:tr>
    </w:tbl>
    <w:p>
      <w:r>
        <w:rPr>
          <w:b w:val="0"/>
          <w:i w:val="0"/>
        </w:rPr>
        <w:t>On top of that flat baseline, the AR Provision FC formula (a single LET formula per cell — this is the quarterly cousin of the monthly tool's MW_PROV_FC_CORE LAMBDA) walks each bucket's rate FORWARD by 3 rate-columns per elapsed quarter between the AR Data Date and that quarter's end (qel = quarters elapsed, via DATEDIF/EOMONTH/ROUNDUP). So a dollar sitting in "Not Due" today doesn't stay at 3% forever in the forecast — by next quarter's end it's forecast as if it had aged forward, picking up whatever rate the bucket 3 columns further along the J:U row carries. Column U (&gt;=151, 100%) is the ceiling — it can't escalate further.</w:t>
      </w:r>
    </w:p>
    <w:p>
      <w:pPr>
        <w:pStyle w:val="Heading2"/>
      </w:pPr>
      <w:r>
        <w:t>Q23. Why does "AR Provision FC" for the CURRENT quarter look bigger than a naive today's-rate number?</w:t>
      </w:r>
    </w:p>
    <w:p>
      <w:r>
        <w:rPr>
          <w:b w:val="0"/>
          <w:i w:val="0"/>
        </w:rPr>
        <w:t>Because AR Provision FC is always an END-OF-QUARTER forecast, even for the quarter that's currently in progress — it prices in the aging that will happen between the AR Data Date and that quarter's end, not just today's snapshot. Verified live in the worked example (Q27): CUST-A's naive "today" provision (column Z, "Provision without any collection") is $1,052.54, but its Q3 AR Provision FC (forecast to 30-Sep-2026) is $3,067.16 — about 3x higher, purely from the forward-aging walk, with no collections entered at all.</w:t>
      </w:r>
    </w:p>
    <w:p>
      <w:pPr>
        <w:pStyle w:val="Heading2"/>
      </w:pPr>
      <w:r>
        <w:t>Q24. What's "Provision after collection including Insurance/BG/LC", and how does insurance reduce it?</w:t>
      </w:r>
    </w:p>
    <w:p>
      <w:r>
        <w:rPr>
          <w:b w:val="0"/>
          <w:i w:val="0"/>
        </w:rPr>
        <w:t>This is columns Z/AA/AB (base, pre-quarter-model columns) — a LIFO-from-the-worst-bucket netting: any FIFO collection first offsets the OLDEST (highest-rate) buckets, working down toward Not Due. Column AB then layers insurance on top: insurance is applied against the SAME remaining buckets, oldest-first, but only covers 95% of the rate inside the insured amount (i.e. even insured exposure still carries a small 5% residual provision) — anything above the insurance limit carries the full bucket rate. Note (memory-worthy quirk): Z/AA/AB only ever look at the Collections FC (FIFO) cell — they are blind to Specific Allocation entirely, even though the quarter block's own Provision Effect/AR Provision FC DO account for Specific Alloc correctly.</w:t>
      </w:r>
    </w:p>
    <w:p>
      <w:pPr>
        <w:pStyle w:val="Heading2"/>
      </w:pPr>
      <w:r>
        <w:t>Q25. What's special about "affiliated" customers?</w:t>
      </w:r>
    </w:p>
    <w:p>
      <w:r>
        <w:rPr>
          <w:b w:val="0"/>
          <w:i w:val="0"/>
        </w:rPr>
        <w:t>This is a Traverse_AR-sheet concept (Customer Type = "affiliated" vs "Non-affiliated"), based on an exact string match on CustCategDesc = "Non Gov - Inter-Affiliated Company - level 1(MIDIS)". On the Traverse_AR sheet, affiliated customers get their own "Provision"/"Provision - With Coface" forced to 0 outright (intercompany balances aren't provisioned). This is a Traverse-only concept — it does not exist as a field in By_Customer or BUD2026's own model (BUD2026's insurance/provision netting in Q24 is unrelated and doesn't know about "affiliated" status at all).</w:t>
      </w:r>
    </w:p>
    <w:p>
      <w:pPr>
        <w:pStyle w:val="Heading2"/>
      </w:pPr>
      <w:r>
        <w:t>Q26. What's the Dashboard + AI Copilot tab, and does it send our data anywhere?</w:t>
      </w:r>
    </w:p>
    <w:p>
      <w:r>
        <w:rPr>
          <w:b/>
          <w:color w:val="C00000"/>
        </w:rPr>
        <w:t>⚠ Yes — worth disclosing proactively, this is the one place in the whole pipeline that talks to an external API. The "📊 Dashboard with AI analysis" tab summarizes the uploaded portfolio (total AR, provision, top 10 customers by exposure with names/amounts, uninsured late AR, focus-list customers) into a JSON blob and sends it to an Azure OpenAI deployment (budg/azure_openai.py) to generate: (1) automatic "AI Risk Flags" (3-6 severity-ranked bullets), and (2) a free-text Q&amp;A chat box ("Ask your AR data"). The Azure endpoint/key/deployment are read from Streamlit secrets or entered per-session in the UI — it's a customer-controlled Azure OpenAI deployment (mwlab-azoai by default), not a public OpenAI account. Answers to non-portfolio-sounding questions are answered locally without calling the API at all (keyword-gated) to save cost/latency.</w:t>
      </w:r>
    </w:p>
    <w:p>
      <w:r>
        <w:rPr>
          <w:b w:val="0"/>
          <w:i w:val="0"/>
        </w:rPr>
        <w:t>Everything above the AI section (the status-breakdown donut chart, the top-10-exposures table) is pure local Python/Plotly — no external call.</w:t>
      </w:r>
    </w:p>
    <w:p>
      <w:pPr>
        <w:pStyle w:val="Heading2"/>
      </w:pPr>
      <w:r>
        <w:t>Q27. The worked example I can show live</w:t>
      </w:r>
    </w:p>
    <w:p>
      <w:r>
        <w:rPr>
          <w:b w:val="0"/>
          <w:i w:val="0"/>
        </w:rPr>
        <w:t>Verified end-to-end today: raw synthetic Traverse export → Tool 1 (Traverse, Q3, JD source, AR Data Date 15-Jul-2026) → By_Customer → Tool 2 (BUD2026, Traverse-style Insurance Master, AR Data Date 15-Jul-2026) → full Excel recalculation via COM. Six customers, one of every rule:</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1F4E78"/>
          </w:tcPr>
          <w:p>
            <w:r>
              <w:rPr>
                <w:b/>
                <w:color w:val="FFFFFF"/>
              </w:rPr>
              <w:t>Customer</w:t>
            </w:r>
          </w:p>
        </w:tc>
        <w:tc>
          <w:tcPr>
            <w:tcW w:type="dxa" w:w="1440"/>
            <w:shd w:fill="1F4E78"/>
          </w:tcPr>
          <w:p>
            <w:r>
              <w:rPr>
                <w:b/>
                <w:color w:val="FFFFFF"/>
              </w:rPr>
              <w:t>Story</w:t>
            </w:r>
          </w:p>
        </w:tc>
        <w:tc>
          <w:tcPr>
            <w:tcW w:type="dxa" w:w="1440"/>
            <w:shd w:fill="1F4E78"/>
          </w:tcPr>
          <w:p>
            <w:r>
              <w:rPr>
                <w:b/>
                <w:color w:val="FFFFFF"/>
              </w:rPr>
              <w:t>AR Balance</w:t>
            </w:r>
          </w:p>
        </w:tc>
        <w:tc>
          <w:tcPr>
            <w:tcW w:type="dxa" w:w="1440"/>
            <w:shd w:fill="1F4E78"/>
          </w:tcPr>
          <w:p>
            <w:r>
              <w:rPr>
                <w:b/>
                <w:color w:val="FFFFFF"/>
              </w:rPr>
              <w:t>Insurance</w:t>
            </w:r>
          </w:p>
        </w:tc>
        <w:tc>
          <w:tcPr>
            <w:tcW w:type="dxa" w:w="1440"/>
            <w:shd w:fill="1F4E78"/>
          </w:tcPr>
          <w:p>
            <w:r>
              <w:rPr>
                <w:b/>
                <w:color w:val="FFFFFF"/>
              </w:rPr>
              <w:t>Q3 AR Provision FC</w:t>
            </w:r>
          </w:p>
        </w:tc>
        <w:tc>
          <w:tcPr>
            <w:tcW w:type="dxa" w:w="1440"/>
            <w:shd w:fill="1F4E78"/>
          </w:tcPr>
          <w:p>
            <w:r>
              <w:rPr>
                <w:b/>
                <w:color w:val="FFFFFF"/>
              </w:rPr>
              <w:t>Why</w:t>
            </w:r>
          </w:p>
        </w:tc>
      </w:tr>
      <w:tr>
        <w:tc>
          <w:tcPr>
            <w:tcW w:type="dxa" w:w="1440"/>
          </w:tcPr>
          <w:p>
            <w:r>
              <w:t>CUST-A</w:t>
            </w:r>
          </w:p>
        </w:tc>
        <w:tc>
          <w:tcPr>
            <w:tcW w:type="dxa" w:w="1440"/>
          </w:tcPr>
          <w:p>
            <w:r>
              <w:t>Not-due invoice (due in 17d) + one 75-day-overdue invoice, partially insured</w:t>
            </w:r>
          </w:p>
        </w:tc>
        <w:tc>
          <w:tcPr>
            <w:tcW w:type="dxa" w:w="1440"/>
          </w:tcPr>
          <w:p>
            <w:r>
              <w:t>$5,957.75</w:t>
            </w:r>
          </w:p>
        </w:tc>
        <w:tc>
          <w:tcPr>
            <w:tcW w:type="dxa" w:w="1440"/>
          </w:tcPr>
          <w:p>
            <w:r>
              <w:t>$1,500</w:t>
            </w:r>
          </w:p>
        </w:tc>
        <w:tc>
          <w:tcPr>
            <w:tcW w:type="dxa" w:w="1440"/>
          </w:tcPr>
          <w:p>
            <w:r>
              <w:t>$3,067.16</w:t>
            </w:r>
          </w:p>
        </w:tc>
        <w:tc>
          <w:tcPr>
            <w:tcW w:type="dxa" w:w="1440"/>
          </w:tcPr>
          <w:p>
            <w:r>
              <w:t>Blended: not-due portion forecasts forward from 3%, overdue portion already at 25%, insurance nets a 95%-discount slice off the top</w:t>
            </w:r>
          </w:p>
        </w:tc>
      </w:tr>
      <w:tr>
        <w:tc>
          <w:tcPr>
            <w:tcW w:type="dxa" w:w="1440"/>
          </w:tcPr>
          <w:p>
            <w:r>
              <w:t>CUST-B</w:t>
            </w:r>
          </w:p>
        </w:tc>
        <w:tc>
          <w:tcPr>
            <w:tcW w:type="dxa" w:w="1440"/>
          </w:tcPr>
          <w:p>
            <w:r>
              <w:t>Fully overdue 164 days, no insurance</w:t>
            </w:r>
          </w:p>
        </w:tc>
        <w:tc>
          <w:tcPr>
            <w:tcW w:type="dxa" w:w="1440"/>
          </w:tcPr>
          <w:p>
            <w:r>
              <w:t>$5,950.70</w:t>
            </w:r>
          </w:p>
        </w:tc>
        <w:tc>
          <w:tcPr>
            <w:tcW w:type="dxa" w:w="1440"/>
          </w:tcPr>
          <w:p>
            <w:r>
              <w:t>$0</w:t>
            </w:r>
          </w:p>
        </w:tc>
        <w:tc>
          <w:tcPr>
            <w:tcW w:type="dxa" w:w="1440"/>
          </w:tcPr>
          <w:p>
            <w:r>
              <w:t>$5,950.70</w:t>
            </w:r>
          </w:p>
        </w:tc>
        <w:tc>
          <w:tcPr>
            <w:tcW w:type="dxa" w:w="1440"/>
          </w:tcPr>
          <w:p>
            <w:r>
              <w:t>Already in the &gt;=151 bucket = 100% rate, nothing left to escalate</w:t>
            </w:r>
          </w:p>
        </w:tc>
      </w:tr>
      <w:tr>
        <w:tc>
          <w:tcPr>
            <w:tcW w:type="dxa" w:w="1440"/>
          </w:tcPr>
          <w:p>
            <w:r>
              <w:t>CUST-D</w:t>
            </w:r>
          </w:p>
        </w:tc>
        <w:tc>
          <w:tcPr>
            <w:tcW w:type="dxa" w:w="1440"/>
          </w:tcPr>
          <w:p>
            <w:r>
              <w:t>Name contains "MINDWARE" → keyword-blocked</w:t>
            </w:r>
          </w:p>
        </w:tc>
        <w:tc>
          <w:tcPr>
            <w:tcW w:type="dxa" w:w="1440"/>
          </w:tcPr>
          <w:p>
            <w:r>
              <w:t>$2,976.06</w:t>
            </w:r>
          </w:p>
        </w:tc>
        <w:tc>
          <w:tcPr>
            <w:tcW w:type="dxa" w:w="1440"/>
          </w:tcPr>
          <w:p>
            <w:r>
              <w:t>$0</w:t>
            </w:r>
          </w:p>
        </w:tc>
        <w:tc>
          <w:tcPr>
            <w:tcW w:type="dxa" w:w="1440"/>
          </w:tcPr>
          <w:p>
            <w:r>
              <w:t>$1,488.03</w:t>
            </w:r>
          </w:p>
        </w:tc>
        <w:tc>
          <w:tcPr>
            <w:tcW w:type="dxa" w:w="1440"/>
          </w:tcPr>
          <w:p>
            <w:r>
              <w:t>Blocking zeroes its collections forecast &amp; Not-Due breakdown, but provision still runs on its real 14-day-overdue exposure</w:t>
            </w:r>
          </w:p>
        </w:tc>
      </w:tr>
      <w:tr>
        <w:tc>
          <w:tcPr>
            <w:tcW w:type="dxa" w:w="1440"/>
          </w:tcPr>
          <w:p>
            <w:r>
              <w:t>CUST-E</w:t>
            </w:r>
          </w:p>
        </w:tc>
        <w:tc>
          <w:tcPr>
            <w:tcW w:type="dxa" w:w="1440"/>
          </w:tcPr>
          <w:p>
            <w:r>
              <w:t>Affiliated customer, fully insured, not yet due (36d)</w:t>
            </w:r>
          </w:p>
        </w:tc>
        <w:tc>
          <w:tcPr>
            <w:tcW w:type="dxa" w:w="1440"/>
          </w:tcPr>
          <w:p>
            <w:r>
              <w:t>$7,935.21</w:t>
            </w:r>
          </w:p>
        </w:tc>
        <w:tc>
          <w:tcPr>
            <w:tcW w:type="dxa" w:w="1440"/>
          </w:tcPr>
          <w:p>
            <w:r>
              <w:t>$10,000</w:t>
            </w:r>
          </w:p>
        </w:tc>
        <w:tc>
          <w:tcPr>
            <w:tcW w:type="dxa" w:w="1440"/>
          </w:tcPr>
          <w:p>
            <w:r>
              <w:t>$11.90</w:t>
            </w:r>
          </w:p>
        </w:tc>
        <w:tc>
          <w:tcPr>
            <w:tcW w:type="dxa" w:w="1440"/>
          </w:tcPr>
          <w:p>
            <w:r>
              <w:t>Insurance limit covers the whole balance, so only the 5% insured-residual rate applies</w:t>
            </w:r>
          </w:p>
        </w:tc>
      </w:tr>
      <w:tr>
        <w:tc>
          <w:tcPr>
            <w:tcW w:type="dxa" w:w="1440"/>
          </w:tcPr>
          <w:p>
            <w:r>
              <w:t>CUST-F</w:t>
            </w:r>
          </w:p>
        </w:tc>
        <w:tc>
          <w:tcPr>
            <w:tcW w:type="dxa" w:w="1440"/>
          </w:tcPr>
          <w:p>
            <w:r>
              <w:t>Credit / on-account balance (negative)</w:t>
            </w:r>
          </w:p>
        </w:tc>
        <w:tc>
          <w:tcPr>
            <w:tcW w:type="dxa" w:w="1440"/>
          </w:tcPr>
          <w:p>
            <w:r>
              <w:t>-$1,587.32</w:t>
            </w:r>
          </w:p>
        </w:tc>
        <w:tc>
          <w:tcPr>
            <w:tcW w:type="dxa" w:w="1440"/>
          </w:tcPr>
          <w:p>
            <w:r>
              <w:t>$0</w:t>
            </w:r>
          </w:p>
        </w:tc>
        <w:tc>
          <w:tcPr>
            <w:tcW w:type="dxa" w:w="1440"/>
          </w:tcPr>
          <w:p>
            <w:r>
              <w:t>$0.00</w:t>
            </w:r>
          </w:p>
        </w:tc>
        <w:tc>
          <w:tcPr>
            <w:tcW w:type="dxa" w:w="1440"/>
          </w:tcPr>
          <w:p>
            <w:r>
              <w:t>Negative balances never carry a positive provision</w:t>
            </w:r>
          </w:p>
        </w:tc>
      </w:tr>
      <w:tr>
        <w:tc>
          <w:tcPr>
            <w:tcW w:type="dxa" w:w="1440"/>
          </w:tcPr>
          <w:p>
            <w:r>
              <w:t>TRDARA</w:t>
            </w:r>
          </w:p>
        </w:tc>
        <w:tc>
          <w:tcPr>
            <w:tcW w:type="dxa" w:w="1440"/>
          </w:tcPr>
          <w:p>
            <w:r>
              <w:t>CustId hardcoded to DOUBTFUL status, 44 days overdue</w:t>
            </w:r>
          </w:p>
        </w:tc>
        <w:tc>
          <w:tcPr>
            <w:tcW w:type="dxa" w:w="1440"/>
          </w:tcPr>
          <w:p>
            <w:r>
              <w:t>$9,918.31</w:t>
            </w:r>
          </w:p>
        </w:tc>
        <w:tc>
          <w:tcPr>
            <w:tcW w:type="dxa" w:w="1440"/>
          </w:tcPr>
          <w:p>
            <w:r>
              <w:t>$0</w:t>
            </w:r>
          </w:p>
        </w:tc>
        <w:tc>
          <w:tcPr>
            <w:tcW w:type="dxa" w:w="1440"/>
          </w:tcPr>
          <w:p>
            <w:r>
              <w:t>$7,438.73</w:t>
            </w:r>
          </w:p>
        </w:tc>
        <w:tc>
          <w:tcPr>
            <w:tcW w:type="dxa" w:w="1440"/>
          </w:tcPr>
          <w:p>
            <w:r>
              <w:t>Status-blocked from the collections forecast, but — like CUST-D — still fully provisioned on its real aging exposure</w:t>
            </w:r>
          </w:p>
        </w:tc>
      </w:tr>
    </w:tbl>
    <w:p>
      <w:r>
        <w:rPr>
          <w:b w:val="0"/>
          <w:i w:val="0"/>
        </w:rPr>
        <w:t>Row 9 subtotal for the whole Q3 block confirms it ties out: $32,738.03 total Expected AR, $17,956.53 total AR Provision FC across the 6 customers.</w:t>
      </w:r>
    </w:p>
    <w:p>
      <w:pPr>
        <w:pStyle w:val="Heading1"/>
      </w:pPr>
      <w:r>
        <w:t>PART 4 — Caveats to get ahead of</w:t>
      </w:r>
    </w:p>
    <w:p>
      <w:pPr>
        <w:pStyle w:val="Heading2"/>
      </w:pPr>
      <w:r>
        <w:t>Q28. Two real bugs were found and fixed today (2026-09-16) — what were they?</w:t>
      </w:r>
    </w:p>
    <w:p>
      <w:pPr>
        <w:pStyle w:val="ListBullet"/>
      </w:pPr>
      <w:r>
        <w:rPr>
          <w:b/>
        </w:rPr>
        <w:t xml:space="preserve">Bug 1 — Not-Due bucket breakdown: </w:t>
      </w:r>
      <w:r>
        <w:t>traverse/export.py always wrote "Overdue days (Days)": 0 into the synthetic table it hands to customer_summary(), instead of the already-computed real value. Net effect: EVERY Traverse customer's not-due dollar amount — no matter its real due date — landed entirely in the "Not Due 0-30 days" bucket (column K), even if it was really due in 90 or 170 days. This silently fed the wrong bucket into BUD2026's rate-escalation formula for every Traverse-sourced row. FIXED — now uses the real days-until-due, verified with a synthetic test (a 36-day-out invoice now correctly lands in "31-60 days", a 76-day-out invoice in "61-90 days", an already-overdue invoice correctly contributes 0 to every Not-Due bucket).</w:t>
      </w:r>
    </w:p>
    <w:p>
      <w:pPr>
        <w:pStyle w:val="ListBullet"/>
      </w:pPr>
      <w:r>
        <w:rPr>
          <w:b/>
        </w:rPr>
        <w:t xml:space="preserve">Bug 2 — "Aging Term" label: </w:t>
      </w:r>
      <w:r>
        <w:t>For JD/non-USD-source files, the initial cached label for a not-yet-due invoice showed "On Account" instead of "Not past due" on the Traverse_AR sheet. Purely cosmetic — the actual Excel formula was always correct and nothing downstream reads this text column — but it would have looked wrong/confusing on screen until a manual recalc. FIXED.</w:t>
      </w:r>
    </w:p>
    <w:p>
      <w:r>
        <w:rPr>
          <w:b/>
          <w:color w:val="C00000"/>
        </w:rPr>
        <w:t>⚠ If anyone has an older Traverse_AR/By_Customer file from before today, its Not-Due breakdown numbers (columns K-O) may be wrong per Bug 1 — regenerate from Tool 1 rather than reusing an old export.</w:t>
      </w:r>
    </w:p>
    <w:p>
      <w:pPr>
        <w:pStyle w:val="Heading2"/>
      </w:pPr>
      <w:r>
        <w:t>Q29. What's still a known placeholder/limitation, left as-is (not fixed) — mention if asked</w:t>
      </w:r>
    </w:p>
    <w:p>
      <w:pPr>
        <w:pStyle w:val="ListBullet"/>
      </w:pPr>
      <w:r>
        <w:t>BUD2026's "Sales Budget region" shows "Qnal" for every Traverse-sourced customer today (Q10). Flagged, not yet fixed pending a decision on the right behavior.</w:t>
      </w:r>
    </w:p>
    <w:p>
      <w:pPr>
        <w:pStyle w:val="ListBullet"/>
      </w:pPr>
      <w:r>
        <w:t>Credit Limit Coface on the Traverse_AR sheet is always $0 — its lookup table is intentionally empty today (Q14).</w:t>
      </w:r>
    </w:p>
    <w:p>
      <w:pPr>
        <w:pStyle w:val="ListBullet"/>
      </w:pPr>
      <w:r>
        <w:t>The 12302/12304/12306 blocked-Main-Account rule can never fire on Traverse data, since Traverse only ever assigns 12301 or 12305 (Q9).</w:t>
      </w:r>
    </w:p>
    <w:p>
      <w:pPr>
        <w:pStyle w:val="ListBullet"/>
      </w:pPr>
      <w:r>
        <w:t>Any Traverse customer on Main Ac 12305 shows entirely zero across BUD2026's formula columns — the master model only computes for Main Ac = 12301 (Q21).</w:t>
      </w:r>
    </w:p>
    <w:p>
      <w:pPr>
        <w:pStyle w:val="ListBullet"/>
      </w:pPr>
      <w:r>
        <w:t>The JD→USD rate is a hardcoded 0.71 constant, not a live FX feed (Q7).</w:t>
      </w:r>
    </w:p>
    <w:p>
      <w:pPr>
        <w:pStyle w:val="ListBullet"/>
      </w:pPr>
      <w:r>
        <w:t>Collections FC / Forecasted-quarter values in By_Customer are live Excel FORMULAS, not static values — a raw Python/pandas read of a freshly-generated file (before Excel has opened and calculated it) will show them as blank/0. They resolve correctly the moment the file is opened in Excel (which auto-recalculates on open).</w:t>
      </w:r>
    </w:p>
    <w:p>
      <w:pPr>
        <w:pStyle w:val="Heading1"/>
      </w:pPr>
      <w:r>
        <w:t>PART 5 — Suggested demo click-through</w:t>
      </w:r>
    </w:p>
    <w:p>
      <w:pPr>
        <w:pStyle w:val="ListNumber"/>
      </w:pPr>
      <w:r>
        <w:t>Open the app, go to "AR Backlog" tab, choose source = Traverse.</w:t>
      </w:r>
    </w:p>
    <w:p>
      <w:pPr>
        <w:pStyle w:val="ListNumber"/>
      </w:pPr>
      <w:r>
        <w:t>Pick the Starting Quarter that matches when the demo Traverse file was actually pulled (Q6) — say so out loud, since it silently sets the as-of date.</w:t>
      </w:r>
    </w:p>
    <w:p>
      <w:pPr>
        <w:pStyle w:val="ListNumber"/>
      </w:pPr>
      <w:r>
        <w:t>Pick Source Currency (JD if the file's GrossAmountBase needs conversion, USD if it's already in USD).</w:t>
      </w:r>
    </w:p>
    <w:p>
      <w:pPr>
        <w:pStyle w:val="ListNumber"/>
      </w:pPr>
      <w:r>
        <w:t>Upload the raw Traverse export, show the live preview, download Traverse_AR.xlsx.</w:t>
      </w:r>
    </w:p>
    <w:p>
      <w:pPr>
        <w:pStyle w:val="ListNumber"/>
      </w:pPr>
      <w:r>
        <w:t>Open it, show the Traverse_AR tab briefly (raw + appended columns), then the By_Customer tab — this is the handoff artifact.</w:t>
      </w:r>
    </w:p>
    <w:p>
      <w:pPr>
        <w:pStyle w:val="ListNumber"/>
      </w:pPr>
      <w:r>
        <w:t>Switch to "BUD2026 from By_Customer" tab. Upload that same By_Customer file (or several).</w:t>
      </w:r>
    </w:p>
    <w:p>
      <w:pPr>
        <w:pStyle w:val="ListNumber"/>
      </w:pPr>
      <w:r>
        <w:t>Upload the Insurance Master (Traverse-style: Customer reference / Amount agreed).</w:t>
      </w:r>
    </w:p>
    <w:p>
      <w:pPr>
        <w:pStyle w:val="ListNumber"/>
      </w:pPr>
      <w:r>
        <w:t>Set AR Data Date manually to match Tool 1's as-of date (Q17) — call out that these two are NOT linked automatically.</w:t>
      </w:r>
    </w:p>
    <w:p>
      <w:pPr>
        <w:pStyle w:val="ListNumber"/>
      </w:pPr>
      <w:r>
        <w:t>Download the Quarterly ALL-sheet workbook; open it in Excel so formulas calculate; walk through the row 5 AR Data Date, row 7 rates, one customer's quarter block (Q22/Q23).</w:t>
      </w:r>
    </w:p>
    <w:p>
      <w:pPr>
        <w:pStyle w:val="ListNumber"/>
      </w:pPr>
      <w:r>
        <w:t>Switch to the Dashboard tab; show the donut + top-exposures table; open the AI Risk Flags / chat if Azure OpenAI is configured, and mention Q26's data-sharing note if asked.</w:t>
      </w:r>
    </w:p>
    <w:p>
      <w:r>
        <w:br w:type="page"/>
      </w:r>
    </w:p>
    <w:p>
      <w:pPr>
        <w:pStyle w:val="Heading1"/>
      </w:pPr>
      <w:r>
        <w:t>Appendix — Reference tables (verbatim from traverse/rules.py)</w:t>
      </w:r>
    </w:p>
    <w:p>
      <w:pPr>
        <w:pStyle w:val="Heading2"/>
      </w:pPr>
      <w:r>
        <w:t>Region by Country code</w:t>
      </w:r>
    </w:p>
    <w:tbl>
      <w:tblPr>
        <w:tblStyle w:val="LightGrid-Accent1"/>
        <w:tblW w:type="auto" w:w="0"/>
        <w:jc w:val="left"/>
        <w:tblLook w:firstColumn="1" w:firstRow="1" w:lastColumn="0" w:lastRow="0" w:noHBand="0" w:noVBand="1" w:val="04A0"/>
      </w:tblPr>
      <w:tblGrid>
        <w:gridCol w:w="4320"/>
        <w:gridCol w:w="4320"/>
      </w:tblGrid>
      <w:tr>
        <w:tc>
          <w:tcPr>
            <w:tcW w:type="dxa" w:w="4320"/>
            <w:shd w:fill="1F4E78"/>
          </w:tcPr>
          <w:p>
            <w:r>
              <w:rPr>
                <w:b/>
                <w:color w:val="FFFFFF"/>
              </w:rPr>
              <w:t>Country code</w:t>
            </w:r>
          </w:p>
        </w:tc>
        <w:tc>
          <w:tcPr>
            <w:tcW w:type="dxa" w:w="4320"/>
            <w:shd w:fill="1F4E78"/>
          </w:tcPr>
          <w:p>
            <w:r>
              <w:rPr>
                <w:b/>
                <w:color w:val="FFFFFF"/>
              </w:rPr>
              <w:t>Region</w:t>
            </w:r>
          </w:p>
        </w:tc>
      </w:tr>
      <w:tr>
        <w:tc>
          <w:tcPr>
            <w:tcW w:type="dxa" w:w="4320"/>
          </w:tcPr>
          <w:p>
            <w:r>
              <w:t>JOR</w:t>
            </w:r>
          </w:p>
        </w:tc>
        <w:tc>
          <w:tcPr>
            <w:tcW w:type="dxa" w:w="4320"/>
          </w:tcPr>
          <w:p>
            <w:r>
              <w:t>Jordan</w:t>
            </w:r>
          </w:p>
        </w:tc>
      </w:tr>
      <w:tr>
        <w:tc>
          <w:tcPr>
            <w:tcW w:type="dxa" w:w="4320"/>
          </w:tcPr>
          <w:p>
            <w:r>
              <w:t>ARE</w:t>
            </w:r>
          </w:p>
        </w:tc>
        <w:tc>
          <w:tcPr>
            <w:tcW w:type="dxa" w:w="4320"/>
          </w:tcPr>
          <w:p>
            <w:r>
              <w:t>UAE</w:t>
            </w:r>
          </w:p>
        </w:tc>
      </w:tr>
      <w:tr>
        <w:tc>
          <w:tcPr>
            <w:tcW w:type="dxa" w:w="4320"/>
          </w:tcPr>
          <w:p>
            <w:r>
              <w:t>UAE</w:t>
            </w:r>
          </w:p>
        </w:tc>
        <w:tc>
          <w:tcPr>
            <w:tcW w:type="dxa" w:w="4320"/>
          </w:tcPr>
          <w:p>
            <w:r>
              <w:t>UAE</w:t>
            </w:r>
          </w:p>
        </w:tc>
      </w:tr>
      <w:tr>
        <w:tc>
          <w:tcPr>
            <w:tcW w:type="dxa" w:w="4320"/>
          </w:tcPr>
          <w:p>
            <w:r>
              <w:t>LBN</w:t>
            </w:r>
          </w:p>
        </w:tc>
        <w:tc>
          <w:tcPr>
            <w:tcW w:type="dxa" w:w="4320"/>
          </w:tcPr>
          <w:p>
            <w:r>
              <w:t>Lebanon</w:t>
            </w:r>
          </w:p>
        </w:tc>
      </w:tr>
      <w:tr>
        <w:tc>
          <w:tcPr>
            <w:tcW w:type="dxa" w:w="4320"/>
          </w:tcPr>
          <w:p>
            <w:r>
              <w:t>PSE</w:t>
            </w:r>
          </w:p>
        </w:tc>
        <w:tc>
          <w:tcPr>
            <w:tcW w:type="dxa" w:w="4320"/>
          </w:tcPr>
          <w:p>
            <w:r>
              <w:t>Palestine</w:t>
            </w:r>
          </w:p>
        </w:tc>
      </w:tr>
      <w:tr>
        <w:tc>
          <w:tcPr>
            <w:tcW w:type="dxa" w:w="4320"/>
          </w:tcPr>
          <w:p>
            <w:r>
              <w:t>BDI</w:t>
            </w:r>
          </w:p>
        </w:tc>
        <w:tc>
          <w:tcPr>
            <w:tcW w:type="dxa" w:w="4320"/>
          </w:tcPr>
          <w:p>
            <w:r>
              <w:t>Jordan</w:t>
            </w:r>
          </w:p>
        </w:tc>
      </w:tr>
      <w:tr>
        <w:tc>
          <w:tcPr>
            <w:tcW w:type="dxa" w:w="4320"/>
          </w:tcPr>
          <w:p>
            <w:r>
              <w:t>QAT</w:t>
            </w:r>
          </w:p>
        </w:tc>
        <w:tc>
          <w:tcPr>
            <w:tcW w:type="dxa" w:w="4320"/>
          </w:tcPr>
          <w:p>
            <w:r>
              <w:t>Qatar</w:t>
            </w:r>
          </w:p>
        </w:tc>
      </w:tr>
      <w:tr>
        <w:tc>
          <w:tcPr>
            <w:tcW w:type="dxa" w:w="4320"/>
          </w:tcPr>
          <w:p>
            <w:r>
              <w:t>CIV</w:t>
            </w:r>
          </w:p>
        </w:tc>
        <w:tc>
          <w:tcPr>
            <w:tcW w:type="dxa" w:w="4320"/>
          </w:tcPr>
          <w:p>
            <w:r>
              <w:t>Ivory Coast</w:t>
            </w:r>
          </w:p>
        </w:tc>
      </w:tr>
      <w:tr>
        <w:tc>
          <w:tcPr>
            <w:tcW w:type="dxa" w:w="4320"/>
          </w:tcPr>
          <w:p>
            <w:r>
              <w:t>FRA</w:t>
            </w:r>
          </w:p>
        </w:tc>
        <w:tc>
          <w:tcPr>
            <w:tcW w:type="dxa" w:w="4320"/>
          </w:tcPr>
          <w:p>
            <w:r>
              <w:t>France</w:t>
            </w:r>
          </w:p>
        </w:tc>
      </w:tr>
      <w:tr>
        <w:tc>
          <w:tcPr>
            <w:tcW w:type="dxa" w:w="4320"/>
          </w:tcPr>
          <w:p>
            <w:r>
              <w:t>MRT</w:t>
            </w:r>
          </w:p>
        </w:tc>
        <w:tc>
          <w:tcPr>
            <w:tcW w:type="dxa" w:w="4320"/>
          </w:tcPr>
          <w:p>
            <w:r>
              <w:t>Mauritania</w:t>
            </w:r>
          </w:p>
        </w:tc>
      </w:tr>
      <w:tr>
        <w:tc>
          <w:tcPr>
            <w:tcW w:type="dxa" w:w="4320"/>
          </w:tcPr>
          <w:p>
            <w:r>
              <w:t>SAU</w:t>
            </w:r>
          </w:p>
        </w:tc>
        <w:tc>
          <w:tcPr>
            <w:tcW w:type="dxa" w:w="4320"/>
          </w:tcPr>
          <w:p>
            <w:r>
              <w:t>Saudi Arabia</w:t>
            </w:r>
          </w:p>
        </w:tc>
      </w:tr>
      <w:tr>
        <w:tc>
          <w:tcPr>
            <w:tcW w:type="dxa" w:w="4320"/>
          </w:tcPr>
          <w:p>
            <w:r>
              <w:t>CMR</w:t>
            </w:r>
          </w:p>
        </w:tc>
        <w:tc>
          <w:tcPr>
            <w:tcW w:type="dxa" w:w="4320"/>
          </w:tcPr>
          <w:p>
            <w:r>
              <w:t>Cameroon</w:t>
            </w:r>
          </w:p>
        </w:tc>
      </w:tr>
      <w:tr>
        <w:tc>
          <w:tcPr>
            <w:tcW w:type="dxa" w:w="4320"/>
          </w:tcPr>
          <w:p>
            <w:r>
              <w:t>MLI</w:t>
            </w:r>
          </w:p>
        </w:tc>
        <w:tc>
          <w:tcPr>
            <w:tcW w:type="dxa" w:w="4320"/>
          </w:tcPr>
          <w:p>
            <w:r>
              <w:t>Mali</w:t>
            </w:r>
          </w:p>
        </w:tc>
      </w:tr>
      <w:tr>
        <w:tc>
          <w:tcPr>
            <w:tcW w:type="dxa" w:w="4320"/>
          </w:tcPr>
          <w:p>
            <w:r>
              <w:t>DZA</w:t>
            </w:r>
          </w:p>
        </w:tc>
        <w:tc>
          <w:tcPr>
            <w:tcW w:type="dxa" w:w="4320"/>
          </w:tcPr>
          <w:p>
            <w:r>
              <w:t>Algeria</w:t>
            </w:r>
          </w:p>
        </w:tc>
      </w:tr>
      <w:tr>
        <w:tc>
          <w:tcPr>
            <w:tcW w:type="dxa" w:w="4320"/>
          </w:tcPr>
          <w:p>
            <w:r>
              <w:t>MAR</w:t>
            </w:r>
          </w:p>
        </w:tc>
        <w:tc>
          <w:tcPr>
            <w:tcW w:type="dxa" w:w="4320"/>
          </w:tcPr>
          <w:p>
            <w:r>
              <w:t>Morocco</w:t>
            </w:r>
          </w:p>
        </w:tc>
      </w:tr>
      <w:tr>
        <w:tc>
          <w:tcPr>
            <w:tcW w:type="dxa" w:w="4320"/>
          </w:tcPr>
          <w:p>
            <w:r>
              <w:t>GAB</w:t>
            </w:r>
          </w:p>
        </w:tc>
        <w:tc>
          <w:tcPr>
            <w:tcW w:type="dxa" w:w="4320"/>
          </w:tcPr>
          <w:p>
            <w:r>
              <w:t>Gabon</w:t>
            </w:r>
          </w:p>
        </w:tc>
      </w:tr>
      <w:tr>
        <w:tc>
          <w:tcPr>
            <w:tcW w:type="dxa" w:w="4320"/>
          </w:tcPr>
          <w:p>
            <w:r>
              <w:t>TUN</w:t>
            </w:r>
          </w:p>
        </w:tc>
        <w:tc>
          <w:tcPr>
            <w:tcW w:type="dxa" w:w="4320"/>
          </w:tcPr>
          <w:p>
            <w:r>
              <w:t>Tunisia</w:t>
            </w:r>
          </w:p>
        </w:tc>
      </w:tr>
      <w:tr>
        <w:tc>
          <w:tcPr>
            <w:tcW w:type="dxa" w:w="4320"/>
          </w:tcPr>
          <w:p>
            <w:r>
              <w:t>MUS</w:t>
            </w:r>
          </w:p>
        </w:tc>
        <w:tc>
          <w:tcPr>
            <w:tcW w:type="dxa" w:w="4320"/>
          </w:tcPr>
          <w:p>
            <w:r>
              <w:t>Mauritius</w:t>
            </w:r>
          </w:p>
        </w:tc>
      </w:tr>
      <w:tr>
        <w:tc>
          <w:tcPr>
            <w:tcW w:type="dxa" w:w="4320"/>
          </w:tcPr>
          <w:p>
            <w:r>
              <w:t>SEN</w:t>
            </w:r>
          </w:p>
        </w:tc>
        <w:tc>
          <w:tcPr>
            <w:tcW w:type="dxa" w:w="4320"/>
          </w:tcPr>
          <w:p>
            <w:r>
              <w:t>Senegal</w:t>
            </w:r>
          </w:p>
        </w:tc>
      </w:tr>
      <w:tr>
        <w:tc>
          <w:tcPr>
            <w:tcW w:type="dxa" w:w="4320"/>
          </w:tcPr>
          <w:p>
            <w:r>
              <w:t>LBY</w:t>
            </w:r>
          </w:p>
        </w:tc>
        <w:tc>
          <w:tcPr>
            <w:tcW w:type="dxa" w:w="4320"/>
          </w:tcPr>
          <w:p>
            <w:r>
              <w:t>Libya</w:t>
            </w:r>
          </w:p>
        </w:tc>
      </w:tr>
      <w:tr>
        <w:tc>
          <w:tcPr>
            <w:tcW w:type="dxa" w:w="4320"/>
          </w:tcPr>
          <w:p>
            <w:r>
              <w:t>COG</w:t>
            </w:r>
          </w:p>
        </w:tc>
        <w:tc>
          <w:tcPr>
            <w:tcW w:type="dxa" w:w="4320"/>
          </w:tcPr>
          <w:p>
            <w:r>
              <w:t>Congo</w:t>
            </w:r>
          </w:p>
        </w:tc>
      </w:tr>
      <w:tr>
        <w:tc>
          <w:tcPr>
            <w:tcW w:type="dxa" w:w="4320"/>
          </w:tcPr>
          <w:p>
            <w:r>
              <w:t>HKG</w:t>
            </w:r>
          </w:p>
        </w:tc>
        <w:tc>
          <w:tcPr>
            <w:tcW w:type="dxa" w:w="4320"/>
          </w:tcPr>
          <w:p>
            <w:r>
              <w:t>China</w:t>
            </w:r>
          </w:p>
        </w:tc>
      </w:tr>
      <w:tr>
        <w:tc>
          <w:tcPr>
            <w:tcW w:type="dxa" w:w="4320"/>
          </w:tcPr>
          <w:p>
            <w:r>
              <w:t>IRQ</w:t>
            </w:r>
          </w:p>
        </w:tc>
        <w:tc>
          <w:tcPr>
            <w:tcW w:type="dxa" w:w="4320"/>
          </w:tcPr>
          <w:p>
            <w:r>
              <w:t>IRAQ</w:t>
            </w:r>
          </w:p>
        </w:tc>
      </w:tr>
      <w:tr>
        <w:tc>
          <w:tcPr>
            <w:tcW w:type="dxa" w:w="4320"/>
          </w:tcPr>
          <w:p>
            <w:r>
              <w:t>EGY</w:t>
            </w:r>
          </w:p>
        </w:tc>
        <w:tc>
          <w:tcPr>
            <w:tcW w:type="dxa" w:w="4320"/>
          </w:tcPr>
          <w:p>
            <w:r>
              <w:t>EGYPT</w:t>
            </w:r>
          </w:p>
        </w:tc>
      </w:tr>
    </w:tbl>
    <w:p>
      <w:pPr>
        <w:pStyle w:val="Heading2"/>
      </w:pPr>
      <w:r>
        <w:t>Main Account overrides (default is 12301 for everyone else)</w:t>
      </w:r>
    </w:p>
    <w:tbl>
      <w:tblPr>
        <w:tblStyle w:val="LightGrid-Accent1"/>
        <w:tblW w:type="auto" w:w="0"/>
        <w:jc w:val="left"/>
        <w:tblLook w:firstColumn="1" w:firstRow="1" w:lastColumn="0" w:lastRow="0" w:noHBand="0" w:noVBand="1" w:val="04A0"/>
      </w:tblPr>
      <w:tblGrid>
        <w:gridCol w:w="4320"/>
        <w:gridCol w:w="4320"/>
      </w:tblGrid>
      <w:tr>
        <w:tc>
          <w:tcPr>
            <w:tcW w:type="dxa" w:w="4320"/>
            <w:shd w:fill="1F4E78"/>
          </w:tcPr>
          <w:p>
            <w:r>
              <w:rPr>
                <w:b/>
                <w:color w:val="FFFFFF"/>
              </w:rPr>
              <w:t>CustId</w:t>
            </w:r>
          </w:p>
        </w:tc>
        <w:tc>
          <w:tcPr>
            <w:tcW w:type="dxa" w:w="4320"/>
            <w:shd w:fill="1F4E78"/>
          </w:tcPr>
          <w:p>
            <w:r>
              <w:rPr>
                <w:b/>
                <w:color w:val="FFFFFF"/>
              </w:rPr>
              <w:t>Main Account</w:t>
            </w:r>
          </w:p>
        </w:tc>
      </w:tr>
      <w:tr>
        <w:tc>
          <w:tcPr>
            <w:tcW w:type="dxa" w:w="4320"/>
          </w:tcPr>
          <w:p>
            <w:r>
              <w:t>MINDWAREFZ</w:t>
            </w:r>
          </w:p>
        </w:tc>
        <w:tc>
          <w:tcPr>
            <w:tcW w:type="dxa" w:w="4320"/>
          </w:tcPr>
          <w:p>
            <w:r>
              <w:t>12305</w:t>
            </w:r>
          </w:p>
        </w:tc>
      </w:tr>
      <w:tr>
        <w:tc>
          <w:tcPr>
            <w:tcW w:type="dxa" w:w="4320"/>
          </w:tcPr>
          <w:p>
            <w:r>
              <w:t>MINFZ</w:t>
            </w:r>
          </w:p>
        </w:tc>
        <w:tc>
          <w:tcPr>
            <w:tcW w:type="dxa" w:w="4320"/>
          </w:tcPr>
          <w:p>
            <w:r>
              <w:t>12305</w:t>
            </w:r>
          </w:p>
        </w:tc>
      </w:tr>
      <w:tr>
        <w:tc>
          <w:tcPr>
            <w:tcW w:type="dxa" w:w="4320"/>
          </w:tcPr>
          <w:p>
            <w:r>
              <w:t>PCABM</w:t>
            </w:r>
          </w:p>
        </w:tc>
        <w:tc>
          <w:tcPr>
            <w:tcW w:type="dxa" w:w="4320"/>
          </w:tcPr>
          <w:p>
            <w:r>
              <w:t>12305</w:t>
            </w:r>
          </w:p>
        </w:tc>
      </w:tr>
      <w:tr>
        <w:tc>
          <w:tcPr>
            <w:tcW w:type="dxa" w:w="4320"/>
          </w:tcPr>
          <w:p>
            <w:r>
              <w:t>PCBLUETECH</w:t>
            </w:r>
          </w:p>
        </w:tc>
        <w:tc>
          <w:tcPr>
            <w:tcW w:type="dxa" w:w="4320"/>
          </w:tcPr>
          <w:p>
            <w:r>
              <w:t>12305</w:t>
            </w:r>
          </w:p>
        </w:tc>
      </w:tr>
      <w:tr>
        <w:tc>
          <w:tcPr>
            <w:tcW w:type="dxa" w:w="4320"/>
          </w:tcPr>
          <w:p>
            <w:r>
              <w:t>PCBTA</w:t>
            </w:r>
          </w:p>
        </w:tc>
        <w:tc>
          <w:tcPr>
            <w:tcW w:type="dxa" w:w="4320"/>
          </w:tcPr>
          <w:p>
            <w:r>
              <w:t>12305</w:t>
            </w:r>
          </w:p>
        </w:tc>
      </w:tr>
      <w:tr>
        <w:tc>
          <w:tcPr>
            <w:tcW w:type="dxa" w:w="4320"/>
          </w:tcPr>
          <w:p>
            <w:r>
              <w:t>PCIBS</w:t>
            </w:r>
          </w:p>
        </w:tc>
        <w:tc>
          <w:tcPr>
            <w:tcW w:type="dxa" w:w="4320"/>
          </w:tcPr>
          <w:p>
            <w:r>
              <w:t>12305</w:t>
            </w:r>
          </w:p>
        </w:tc>
      </w:tr>
      <w:tr>
        <w:tc>
          <w:tcPr>
            <w:tcW w:type="dxa" w:w="4320"/>
          </w:tcPr>
          <w:p>
            <w:r>
              <w:t>PCJBS</w:t>
            </w:r>
          </w:p>
        </w:tc>
        <w:tc>
          <w:tcPr>
            <w:tcW w:type="dxa" w:w="4320"/>
          </w:tcPr>
          <w:p>
            <w:r>
              <w:t>12305</w:t>
            </w:r>
          </w:p>
        </w:tc>
      </w:tr>
      <w:tr>
        <w:tc>
          <w:tcPr>
            <w:tcW w:type="dxa" w:w="4320"/>
          </w:tcPr>
          <w:p>
            <w:r>
              <w:t>PCJBU</w:t>
            </w:r>
          </w:p>
        </w:tc>
        <w:tc>
          <w:tcPr>
            <w:tcW w:type="dxa" w:w="4320"/>
          </w:tcPr>
          <w:p>
            <w:r>
              <w:t>12305</w:t>
            </w:r>
          </w:p>
        </w:tc>
      </w:tr>
      <w:tr>
        <w:tc>
          <w:tcPr>
            <w:tcW w:type="dxa" w:w="4320"/>
          </w:tcPr>
          <w:p>
            <w:r>
              <w:t>PCJDS</w:t>
            </w:r>
          </w:p>
        </w:tc>
        <w:tc>
          <w:tcPr>
            <w:tcW w:type="dxa" w:w="4320"/>
          </w:tcPr>
          <w:p>
            <w:r>
              <w:t>12305</w:t>
            </w:r>
          </w:p>
        </w:tc>
      </w:tr>
      <w:tr>
        <w:tc>
          <w:tcPr>
            <w:tcW w:type="dxa" w:w="4320"/>
          </w:tcPr>
          <w:p>
            <w:r>
              <w:t>PCMAGNOOS</w:t>
            </w:r>
          </w:p>
        </w:tc>
        <w:tc>
          <w:tcPr>
            <w:tcW w:type="dxa" w:w="4320"/>
          </w:tcPr>
          <w:p>
            <w:r>
              <w:t>12305</w:t>
            </w:r>
          </w:p>
        </w:tc>
      </w:tr>
      <w:tr>
        <w:tc>
          <w:tcPr>
            <w:tcW w:type="dxa" w:w="4320"/>
          </w:tcPr>
          <w:p>
            <w:r>
              <w:t>PCOMNJ</w:t>
            </w:r>
          </w:p>
        </w:tc>
        <w:tc>
          <w:tcPr>
            <w:tcW w:type="dxa" w:w="4320"/>
          </w:tcPr>
          <w:p>
            <w:r>
              <w:t>12305</w:t>
            </w:r>
          </w:p>
        </w:tc>
      </w:tr>
      <w:tr>
        <w:tc>
          <w:tcPr>
            <w:tcW w:type="dxa" w:w="4320"/>
          </w:tcPr>
          <w:p>
            <w:r>
              <w:t>PCOMS</w:t>
            </w:r>
          </w:p>
        </w:tc>
        <w:tc>
          <w:tcPr>
            <w:tcW w:type="dxa" w:w="4320"/>
          </w:tcPr>
          <w:p>
            <w:r>
              <w:t>12305</w:t>
            </w:r>
          </w:p>
        </w:tc>
      </w:tr>
      <w:tr>
        <w:tc>
          <w:tcPr>
            <w:tcW w:type="dxa" w:w="4320"/>
          </w:tcPr>
          <w:p>
            <w:r>
              <w:t>ACQBS</w:t>
            </w:r>
          </w:p>
        </w:tc>
        <w:tc>
          <w:tcPr>
            <w:tcW w:type="dxa" w:w="4320"/>
          </w:tcPr>
          <w:p>
            <w:r>
              <w:t>12305</w:t>
            </w:r>
          </w:p>
        </w:tc>
      </w:tr>
      <w:tr>
        <w:tc>
          <w:tcPr>
            <w:tcW w:type="dxa" w:w="4320"/>
          </w:tcPr>
          <w:p>
            <w:r>
              <w:t>L-DIRECT</w:t>
            </w:r>
          </w:p>
        </w:tc>
        <w:tc>
          <w:tcPr>
            <w:tcW w:type="dxa" w:w="4320"/>
          </w:tcPr>
          <w:p>
            <w:r>
              <w:t>12305</w:t>
            </w:r>
          </w:p>
        </w:tc>
      </w:tr>
      <w:tr>
        <w:tc>
          <w:tcPr>
            <w:tcW w:type="dxa" w:w="4320"/>
          </w:tcPr>
          <w:p>
            <w:r>
              <w:t>L-QTH</w:t>
            </w:r>
          </w:p>
        </w:tc>
        <w:tc>
          <w:tcPr>
            <w:tcW w:type="dxa" w:w="4320"/>
          </w:tcPr>
          <w:p>
            <w:r>
              <w:t>12305</w:t>
            </w:r>
          </w:p>
        </w:tc>
      </w:tr>
      <w:tr>
        <w:tc>
          <w:tcPr>
            <w:tcW w:type="dxa" w:w="4320"/>
          </w:tcPr>
          <w:p>
            <w:r>
              <w:t>SCP</w:t>
            </w:r>
          </w:p>
        </w:tc>
        <w:tc>
          <w:tcPr>
            <w:tcW w:type="dxa" w:w="4320"/>
          </w:tcPr>
          <w:p>
            <w:r>
              <w:t>12305</w:t>
            </w:r>
          </w:p>
        </w:tc>
      </w:tr>
      <w:tr>
        <w:tc>
          <w:tcPr>
            <w:tcW w:type="dxa" w:w="4320"/>
          </w:tcPr>
          <w:p>
            <w:r>
              <w:t>SCDM</w:t>
            </w:r>
          </w:p>
        </w:tc>
        <w:tc>
          <w:tcPr>
            <w:tcW w:type="dxa" w:w="4320"/>
          </w:tcPr>
          <w:p>
            <w:r>
              <w:t>12305</w:t>
            </w:r>
          </w:p>
        </w:tc>
      </w:tr>
      <w:tr>
        <w:tc>
          <w:tcPr>
            <w:tcW w:type="dxa" w:w="4320"/>
          </w:tcPr>
          <w:p>
            <w:r>
              <w:t>BMS</w:t>
            </w:r>
          </w:p>
        </w:tc>
        <w:tc>
          <w:tcPr>
            <w:tcW w:type="dxa" w:w="4320"/>
          </w:tcPr>
          <w:p>
            <w:r>
              <w:t>12305</w:t>
            </w:r>
          </w:p>
        </w:tc>
      </w:tr>
      <w:tr>
        <w:tc>
          <w:tcPr>
            <w:tcW w:type="dxa" w:w="4320"/>
          </w:tcPr>
          <w:p>
            <w:r>
              <w:t>ACHDF</w:t>
            </w:r>
          </w:p>
        </w:tc>
        <w:tc>
          <w:tcPr>
            <w:tcW w:type="dxa" w:w="4320"/>
          </w:tcPr>
          <w:p>
            <w:r>
              <w:t>12305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