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CFF" w:rsidRPr="00417CFF" w:rsidRDefault="00417CFF" w:rsidP="00417CFF">
      <w:pPr>
        <w:pStyle w:val="Heading1"/>
        <w:rPr>
          <w:sz w:val="36"/>
        </w:rPr>
      </w:pPr>
      <w:r w:rsidRPr="00417CFF">
        <w:rPr>
          <w:sz w:val="36"/>
        </w:rPr>
        <w:t>Agents, Models &amp; Billing — Architecture Proposal v1</w:t>
      </w:r>
    </w:p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 xml:space="preserve">Status: </w:t>
      </w:r>
      <w:r w:rsidRPr="00417CFF">
        <w:rPr>
          <w:rStyle w:val="Strong"/>
          <w:sz w:val="32"/>
        </w:rPr>
        <w:t>DESIGN PROPOSAL — not yet built.</w:t>
      </w:r>
      <w:r w:rsidRPr="00417CFF">
        <w:rPr>
          <w:sz w:val="32"/>
        </w:rPr>
        <w:t xml:space="preserve"> Written for review; see open questions at the end before implementation starts. Once approved, Phase 1 will be built and tested against the first real tenant, Granite Signal Systems.</w:t>
      </w:r>
    </w:p>
    <w:p w:rsidR="00417CFF" w:rsidRPr="00417CFF" w:rsidRDefault="00417CFF" w:rsidP="00417CFF">
      <w:pPr>
        <w:pStyle w:val="Heading2"/>
        <w:rPr>
          <w:sz w:val="32"/>
        </w:rPr>
      </w:pPr>
      <w:r w:rsidRPr="00417CFF">
        <w:rPr>
          <w:sz w:val="32"/>
        </w:rPr>
        <w:t>Why this exists</w:t>
      </w:r>
    </w:p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 xml:space="preserve">Two agents already live in GSS — AI Business Card Import and AI Ad/Listing Import — and both make real, paid calls to the Anthropic API on every use. Today that cost is invisible: every tenant's usage bills against one shared </w:t>
      </w:r>
      <w:r w:rsidRPr="00417CFF">
        <w:rPr>
          <w:rStyle w:val="HTMLCode"/>
          <w:sz w:val="24"/>
        </w:rPr>
        <w:t>ANTHROPIC_API_KEY</w:t>
      </w:r>
      <w:r w:rsidRPr="00417CFF">
        <w:rPr>
          <w:sz w:val="32"/>
        </w:rPr>
        <w:t xml:space="preserve"> in </w:t>
      </w:r>
      <w:r w:rsidRPr="00417CFF">
        <w:rPr>
          <w:rStyle w:val="HTMLCode"/>
          <w:sz w:val="24"/>
        </w:rPr>
        <w:t>App/.env</w:t>
      </w:r>
      <w:r w:rsidRPr="00417CFF">
        <w:rPr>
          <w:sz w:val="32"/>
        </w:rPr>
        <w:t xml:space="preserve">, and </w:t>
      </w:r>
      <w:r w:rsidRPr="00417CFF">
        <w:rPr>
          <w:rStyle w:val="HTMLCode"/>
          <w:sz w:val="24"/>
        </w:rPr>
        <w:t>agent_usage_log</w:t>
      </w:r>
      <w:r w:rsidRPr="00417CFF">
        <w:rPr>
          <w:sz w:val="32"/>
        </w:rPr>
        <w:t xml:space="preserve"> records </w:t>
      </w:r>
      <w:r w:rsidRPr="00417CFF">
        <w:rPr>
          <w:rStyle w:val="Emphasis"/>
          <w:sz w:val="32"/>
        </w:rPr>
        <w:t>that something happened</w:t>
      </w:r>
      <w:r w:rsidRPr="00417CFF">
        <w:rPr>
          <w:sz w:val="32"/>
        </w:rPr>
        <w:t xml:space="preserve"> but not what it cost or what the tenant owes for it.</w:t>
      </w:r>
    </w:p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>This proposal adds the missing layer: a platform-wide catalog of Agents and Models, a pricing model per Agent, a place for each tenant to hold their own provider API key when one is required, and enough usage detail (tokens, actual cost, model used) to compute real profit/loss per tenant per agent — with a phased path to an actual billing statement.</w:t>
      </w:r>
    </w:p>
    <w:p w:rsidR="00417CFF" w:rsidRPr="00417CFF" w:rsidRDefault="00417CFF" w:rsidP="00417CFF">
      <w:pPr>
        <w:pStyle w:val="Heading2"/>
        <w:rPr>
          <w:sz w:val="32"/>
        </w:rPr>
      </w:pPr>
      <w:r w:rsidRPr="00417CFF">
        <w:rPr>
          <w:sz w:val="32"/>
        </w:rPr>
        <w:t>Design principles</w:t>
      </w:r>
    </w:p>
    <w:p w:rsidR="00417CFF" w:rsidRPr="00071063" w:rsidRDefault="00417CFF" w:rsidP="00417CFF">
      <w:pPr>
        <w:numPr>
          <w:ilvl w:val="0"/>
          <w:numId w:val="22"/>
        </w:numPr>
        <w:spacing w:before="100" w:beforeAutospacing="1" w:after="100" w:afterAutospacing="1"/>
        <w:rPr>
          <w:sz w:val="28"/>
        </w:rPr>
      </w:pPr>
      <w:r w:rsidRPr="00071063">
        <w:rPr>
          <w:rStyle w:val="Strong"/>
          <w:sz w:val="28"/>
        </w:rPr>
        <w:t>Extend, don't replace.</w:t>
      </w:r>
      <w:r w:rsidRPr="00071063">
        <w:rPr>
          <w:sz w:val="28"/>
        </w:rPr>
        <w:t xml:space="preserve"> </w:t>
      </w:r>
      <w:r w:rsidRPr="00071063">
        <w:rPr>
          <w:rStyle w:val="HTMLCode"/>
          <w:rFonts w:eastAsia="Calibri"/>
          <w:sz w:val="28"/>
        </w:rPr>
        <w:t>agents_library</w:t>
      </w:r>
      <w:r w:rsidRPr="00071063">
        <w:rPr>
          <w:sz w:val="28"/>
        </w:rPr>
        <w:t xml:space="preserve">, </w:t>
      </w:r>
      <w:r w:rsidRPr="00071063">
        <w:rPr>
          <w:rStyle w:val="HTMLCode"/>
          <w:rFonts w:eastAsia="Calibri"/>
          <w:sz w:val="28"/>
        </w:rPr>
        <w:t>tenant_agents</w:t>
      </w:r>
      <w:r w:rsidRPr="00071063">
        <w:rPr>
          <w:sz w:val="28"/>
        </w:rPr>
        <w:t xml:space="preserve">, and </w:t>
      </w:r>
      <w:r w:rsidRPr="00071063">
        <w:rPr>
          <w:rStyle w:val="HTMLCode"/>
          <w:rFonts w:eastAsia="Calibri"/>
          <w:sz w:val="28"/>
        </w:rPr>
        <w:t>agent_usage_log</w:t>
      </w:r>
      <w:r w:rsidRPr="00071063">
        <w:rPr>
          <w:sz w:val="28"/>
        </w:rPr>
        <w:t xml:space="preserve"> already exist and are wired into the app (request/approve flow, </w:t>
      </w:r>
      <w:r w:rsidRPr="00071063">
        <w:rPr>
          <w:rStyle w:val="HTMLCode"/>
          <w:rFonts w:eastAsia="Calibri"/>
          <w:sz w:val="28"/>
        </w:rPr>
        <w:t>agent_access_required</w:t>
      </w:r>
      <w:r w:rsidRPr="00071063">
        <w:rPr>
          <w:sz w:val="28"/>
        </w:rPr>
        <w:t xml:space="preserve"> decorator, usage logging call sites). This proposal adds columns and new tables around them rather than redesigning what's already working.</w:t>
      </w:r>
    </w:p>
    <w:p w:rsidR="00417CFF" w:rsidRPr="00071063" w:rsidRDefault="00417CFF" w:rsidP="00417CFF">
      <w:pPr>
        <w:numPr>
          <w:ilvl w:val="0"/>
          <w:numId w:val="22"/>
        </w:numPr>
        <w:spacing w:before="100" w:beforeAutospacing="1" w:after="100" w:afterAutospacing="1"/>
        <w:rPr>
          <w:sz w:val="28"/>
        </w:rPr>
      </w:pPr>
      <w:r w:rsidRPr="00071063">
        <w:rPr>
          <w:rStyle w:val="Strong"/>
          <w:sz w:val="28"/>
        </w:rPr>
        <w:t>Subscription and credential are orthogonal.</w:t>
      </w:r>
      <w:r w:rsidRPr="00071063">
        <w:rPr>
          <w:sz w:val="28"/>
        </w:rPr>
        <w:t xml:space="preserve"> A tenant's </w:t>
      </w:r>
      <w:r w:rsidRPr="00071063">
        <w:rPr>
          <w:rStyle w:val="Emphasis"/>
          <w:sz w:val="28"/>
        </w:rPr>
        <w:t>pricing plan</w:t>
      </w:r>
      <w:r w:rsidRPr="00071063">
        <w:rPr>
          <w:sz w:val="28"/>
        </w:rPr>
        <w:t xml:space="preserve"> (what they're charged) and their </w:t>
      </w:r>
      <w:r w:rsidRPr="00071063">
        <w:rPr>
          <w:rStyle w:val="Emphasis"/>
          <w:sz w:val="28"/>
        </w:rPr>
        <w:t>API credential</w:t>
      </w:r>
      <w:r w:rsidRPr="00071063">
        <w:rPr>
          <w:sz w:val="28"/>
        </w:rPr>
        <w:t xml:space="preserve"> (whether they must supply their own key) are two separate concerns — a tenant can be on a flat-monthly plan using the platform's shared key, or need their own key specifically because the agent/model tier they picked requires one, independent of how they're billed. The schema keeps these as two separate tables so neither forces the other.</w:t>
      </w:r>
    </w:p>
    <w:p w:rsidR="00417CFF" w:rsidRPr="00071063" w:rsidRDefault="00417CFF" w:rsidP="00417CFF">
      <w:pPr>
        <w:numPr>
          <w:ilvl w:val="0"/>
          <w:numId w:val="22"/>
        </w:numPr>
        <w:spacing w:before="100" w:beforeAutospacing="1" w:after="100" w:afterAutospacing="1"/>
        <w:rPr>
          <w:sz w:val="28"/>
        </w:rPr>
      </w:pPr>
      <w:r w:rsidRPr="00071063">
        <w:rPr>
          <w:rStyle w:val="Strong"/>
          <w:sz w:val="28"/>
        </w:rPr>
        <w:t>Cost history, not just current cost.</w:t>
      </w:r>
      <w:r w:rsidRPr="00071063">
        <w:rPr>
          <w:sz w:val="28"/>
        </w:rPr>
        <w:t xml:space="preserve"> Provider pricing changes over time. Rates are stored with an effective date so a profit/loss computation for last March uses March's real rate, not today's.</w:t>
      </w:r>
    </w:p>
    <w:p w:rsidR="00417CFF" w:rsidRPr="00071063" w:rsidRDefault="00417CFF" w:rsidP="00417CFF">
      <w:pPr>
        <w:numPr>
          <w:ilvl w:val="0"/>
          <w:numId w:val="22"/>
        </w:numPr>
        <w:spacing w:before="100" w:beforeAutospacing="1" w:after="100" w:afterAutospacing="1"/>
        <w:rPr>
          <w:sz w:val="28"/>
        </w:rPr>
      </w:pPr>
      <w:r w:rsidRPr="00071063">
        <w:rPr>
          <w:rStyle w:val="Strong"/>
          <w:sz w:val="28"/>
        </w:rPr>
        <w:t>Portable shape, not a shared schema.</w:t>
      </w:r>
      <w:r w:rsidRPr="00071063">
        <w:rPr>
          <w:sz w:val="28"/>
        </w:rPr>
        <w:t xml:space="preserve"> You mentioned wanting this in other apps you're building — including single-tenant, multi-</w:t>
      </w:r>
      <w:r w:rsidRPr="00071063">
        <w:rPr>
          <w:rStyle w:val="Emphasis"/>
          <w:sz w:val="28"/>
        </w:rPr>
        <w:t>user</w:t>
      </w:r>
      <w:r w:rsidRPr="00071063">
        <w:rPr>
          <w:sz w:val="28"/>
        </w:rPr>
        <w:t xml:space="preserve"> retail apps where each </w:t>
      </w:r>
      <w:r w:rsidRPr="00071063">
        <w:rPr>
          <w:sz w:val="28"/>
        </w:rPr>
        <w:lastRenderedPageBreak/>
        <w:t xml:space="preserve">individual user (not a tenant) holds their own key/subscription. Rather than bolting a generic </w:t>
      </w:r>
      <w:r w:rsidRPr="00071063">
        <w:rPr>
          <w:rStyle w:val="HTMLCode"/>
          <w:rFonts w:eastAsia="Calibri"/>
          <w:sz w:val="28"/>
        </w:rPr>
        <w:t>owner_type/owner_id</w:t>
      </w:r>
      <w:r w:rsidRPr="00071063">
        <w:rPr>
          <w:sz w:val="28"/>
        </w:rPr>
        <w:t xml:space="preserve"> polymorphic column onto GSS (which would fight the tenant-isolation FK triggers already in schema.sql), every table below uses </w:t>
      </w:r>
      <w:r w:rsidRPr="00071063">
        <w:rPr>
          <w:rStyle w:val="HTMLCode"/>
          <w:rFonts w:eastAsia="Calibri"/>
          <w:sz w:val="28"/>
        </w:rPr>
        <w:t>tenant_id</w:t>
      </w:r>
      <w:r w:rsidRPr="00071063">
        <w:rPr>
          <w:sz w:val="28"/>
        </w:rPr>
        <w:t xml:space="preserve"> the way GSS already does everywhere. The tables themselves — Providers, Models, Rates, Agents, Pricing Plans, Credentials, Usage Log — are the reusable part: the same seven-table shape drops into a different app with </w:t>
      </w:r>
      <w:r w:rsidRPr="00071063">
        <w:rPr>
          <w:rStyle w:val="HTMLCode"/>
          <w:rFonts w:eastAsia="Calibri"/>
          <w:sz w:val="28"/>
        </w:rPr>
        <w:t>tenant_id</w:t>
      </w:r>
      <w:r w:rsidRPr="00071063">
        <w:rPr>
          <w:sz w:val="28"/>
        </w:rPr>
        <w:t xml:space="preserve"> renamed/repointed to </w:t>
      </w:r>
      <w:r w:rsidRPr="00071063">
        <w:rPr>
          <w:rStyle w:val="HTMLCode"/>
          <w:rFonts w:eastAsia="Calibri"/>
          <w:sz w:val="28"/>
        </w:rPr>
        <w:t>user_id</w:t>
      </w:r>
      <w:r w:rsidRPr="00071063">
        <w:rPr>
          <w:sz w:val="28"/>
        </w:rPr>
        <w:t xml:space="preserve"> (or whatever that app's billable entity is). It's a pattern to copy, not a library to share, which matches how GSS itself was built (architecture cloned from TMS, not imported as a dependency).</w:t>
      </w:r>
    </w:p>
    <w:p w:rsidR="00417CFF" w:rsidRPr="00071063" w:rsidRDefault="00417CFF" w:rsidP="00417CFF">
      <w:pPr>
        <w:numPr>
          <w:ilvl w:val="0"/>
          <w:numId w:val="22"/>
        </w:numPr>
        <w:spacing w:before="100" w:beforeAutospacing="1" w:after="100" w:afterAutospacing="1"/>
        <w:rPr>
          <w:sz w:val="28"/>
        </w:rPr>
      </w:pPr>
      <w:r w:rsidRPr="00071063">
        <w:rPr>
          <w:rStyle w:val="Strong"/>
          <w:sz w:val="28"/>
        </w:rPr>
        <w:t>Custom, tenant-only agents are a first-class case, not a bolt-on.</w:t>
      </w:r>
      <w:r w:rsidRPr="00071063">
        <w:rPr>
          <w:sz w:val="28"/>
        </w:rPr>
        <w:t xml:space="preserve"> A nullable </w:t>
      </w:r>
      <w:r w:rsidRPr="00071063">
        <w:rPr>
          <w:rStyle w:val="HTMLCode"/>
          <w:rFonts w:eastAsia="Calibri"/>
          <w:sz w:val="28"/>
        </w:rPr>
        <w:t>tenant_id</w:t>
      </w:r>
      <w:r w:rsidRPr="00071063">
        <w:rPr>
          <w:sz w:val="28"/>
        </w:rPr>
        <w:t xml:space="preserve"> directly on </w:t>
      </w:r>
      <w:r w:rsidRPr="00071063">
        <w:rPr>
          <w:rStyle w:val="HTMLCode"/>
          <w:rFonts w:eastAsia="Calibri"/>
          <w:sz w:val="28"/>
        </w:rPr>
        <w:t>agents_library</w:t>
      </w:r>
      <w:r w:rsidRPr="00071063">
        <w:rPr>
          <w:sz w:val="28"/>
        </w:rPr>
        <w:t xml:space="preserve"> does this with no new table: </w:t>
      </w:r>
      <w:r w:rsidRPr="00071063">
        <w:rPr>
          <w:rStyle w:val="HTMLCode"/>
          <w:rFonts w:eastAsia="Calibri"/>
          <w:sz w:val="28"/>
        </w:rPr>
        <w:t>NULL</w:t>
      </w:r>
      <w:r w:rsidRPr="00071063">
        <w:rPr>
          <w:sz w:val="28"/>
        </w:rPr>
        <w:t xml:space="preserve"> = platform-wide (today's two agents), a real tenant_id = visible only to that tenant.</w:t>
      </w:r>
    </w:p>
    <w:p w:rsidR="00417CFF" w:rsidRPr="00417CFF" w:rsidRDefault="00417CFF" w:rsidP="00417CFF">
      <w:pPr>
        <w:pStyle w:val="Heading2"/>
        <w:rPr>
          <w:sz w:val="32"/>
        </w:rPr>
      </w:pPr>
      <w:r w:rsidRPr="00417CFF">
        <w:rPr>
          <w:sz w:val="32"/>
        </w:rPr>
        <w:t>Schema additions</w:t>
      </w:r>
    </w:p>
    <w:p w:rsidR="00417CFF" w:rsidRPr="00417CFF" w:rsidRDefault="00417CFF" w:rsidP="00417CFF">
      <w:pPr>
        <w:pStyle w:val="Heading3"/>
        <w:rPr>
          <w:sz w:val="28"/>
        </w:rPr>
      </w:pPr>
      <w:r w:rsidRPr="00417CFF">
        <w:rPr>
          <w:sz w:val="28"/>
        </w:rPr>
        <w:t xml:space="preserve">1. </w:t>
      </w:r>
      <w:r w:rsidRPr="00417CFF">
        <w:rPr>
          <w:rStyle w:val="HTMLCode"/>
          <w:rFonts w:eastAsia="Calibri"/>
          <w:sz w:val="24"/>
        </w:rPr>
        <w:t>ai_providers</w:t>
      </w:r>
      <w:r w:rsidRPr="00417CFF">
        <w:rPr>
          <w:sz w:val="28"/>
        </w:rPr>
        <w:t xml:space="preserve"> (new, global)</w:t>
      </w:r>
    </w:p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>The company behind a model — Anthropic today, room for others later.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593"/>
      </w:tblGrid>
      <w:tr w:rsidR="00417CFF" w:rsidRPr="00417CFF" w:rsidTr="00DB4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notes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provider_id PK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provider_code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 xml:space="preserve">unique, e.g. </w:t>
            </w:r>
            <w:r w:rsidRPr="00417CFF">
              <w:rPr>
                <w:rStyle w:val="HTMLCode"/>
                <w:rFonts w:eastAsia="Calibri"/>
                <w:sz w:val="24"/>
              </w:rPr>
              <w:t>ANTHROPIC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e.g. "Anthropic"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</w:tbl>
    <w:p w:rsidR="00417CFF" w:rsidRPr="00417CFF" w:rsidRDefault="00417CFF" w:rsidP="00417CFF">
      <w:pPr>
        <w:pStyle w:val="Heading3"/>
        <w:rPr>
          <w:sz w:val="32"/>
          <w:szCs w:val="27"/>
        </w:rPr>
      </w:pPr>
      <w:r w:rsidRPr="00417CFF">
        <w:rPr>
          <w:sz w:val="28"/>
        </w:rPr>
        <w:t xml:space="preserve">2. </w:t>
      </w:r>
      <w:r w:rsidRPr="00417CFF">
        <w:rPr>
          <w:rStyle w:val="HTMLCode"/>
          <w:rFonts w:eastAsia="Calibri"/>
          <w:sz w:val="24"/>
        </w:rPr>
        <w:t>ai_models</w:t>
      </w:r>
      <w:r w:rsidRPr="00417CFF">
        <w:rPr>
          <w:sz w:val="28"/>
        </w:rPr>
        <w:t xml:space="preserve"> (new, global)</w:t>
      </w:r>
    </w:p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>The catalog of models an Agent can run 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7250"/>
      </w:tblGrid>
      <w:tr w:rsidR="00417CFF" w:rsidRPr="00417CFF" w:rsidTr="00DB4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notes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model_id PK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provider_id FK → ai_providers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model_code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 xml:space="preserve">e.g. </w:t>
            </w:r>
            <w:r w:rsidRPr="00417CFF">
              <w:rPr>
                <w:rStyle w:val="HTMLCode"/>
                <w:rFonts w:eastAsia="Calibri"/>
                <w:sz w:val="24"/>
              </w:rPr>
              <w:t>claude-sonnet-5</w:t>
            </w:r>
            <w:r w:rsidRPr="00417CFF">
              <w:rPr>
                <w:sz w:val="24"/>
              </w:rPr>
              <w:t>, unique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display_name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e.g. "Claude Sonnet 5"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requires_tenant_api_key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BOOL — false for today's shared-key models, true for an advanced/premium tier a tenant must bring their own key for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sort_order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</w:tbl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>Today's two agents would point at one seeded row here (</w:t>
      </w:r>
      <w:r w:rsidRPr="00417CFF">
        <w:rPr>
          <w:rStyle w:val="HTMLCode"/>
          <w:sz w:val="24"/>
        </w:rPr>
        <w:t>claude-sonnet-5</w:t>
      </w:r>
      <w:r w:rsidRPr="00417CFF">
        <w:rPr>
          <w:sz w:val="32"/>
        </w:rPr>
        <w:t xml:space="preserve">, </w:t>
      </w:r>
      <w:r w:rsidRPr="00417CFF">
        <w:rPr>
          <w:rStyle w:val="HTMLCode"/>
          <w:sz w:val="24"/>
        </w:rPr>
        <w:t>requires_tenant_api_key = 0</w:t>
      </w:r>
      <w:r w:rsidRPr="00417CFF">
        <w:rPr>
          <w:sz w:val="32"/>
        </w:rPr>
        <w:t>) representing the platform's current shared-key setup. A future advanced-model agent seeds a second row with the flag set to true.</w:t>
      </w:r>
    </w:p>
    <w:p w:rsidR="00417CFF" w:rsidRPr="00417CFF" w:rsidRDefault="00417CFF" w:rsidP="00417CFF">
      <w:pPr>
        <w:pStyle w:val="Heading3"/>
        <w:rPr>
          <w:sz w:val="28"/>
        </w:rPr>
      </w:pPr>
      <w:r w:rsidRPr="00417CFF">
        <w:rPr>
          <w:sz w:val="28"/>
        </w:rPr>
        <w:t xml:space="preserve">3. </w:t>
      </w:r>
      <w:r w:rsidRPr="00417CFF">
        <w:rPr>
          <w:rStyle w:val="HTMLCode"/>
          <w:rFonts w:eastAsia="Calibri"/>
          <w:sz w:val="24"/>
        </w:rPr>
        <w:t>ai_model_rates</w:t>
      </w:r>
      <w:r w:rsidRPr="00417CFF">
        <w:rPr>
          <w:sz w:val="28"/>
        </w:rPr>
        <w:t xml:space="preserve"> (new, global)</w:t>
      </w:r>
    </w:p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>The actual per-token cost of a model, over time — this is what makes "actual run cost" computable and auditable after the fact.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2517"/>
      </w:tblGrid>
      <w:tr w:rsidR="00417CFF" w:rsidRPr="00417CFF" w:rsidTr="00DB4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notes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rate_id PK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model_id FK → ai_models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effective_from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date this rate took effect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cost_per_1k_input_tokens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cost_per_1k_output_tokens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default USD</w:t>
            </w:r>
          </w:p>
        </w:tc>
      </w:tr>
    </w:tbl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 xml:space="preserve">A usage row always joins to the rate whose </w:t>
      </w:r>
      <w:r w:rsidRPr="00417CFF">
        <w:rPr>
          <w:rStyle w:val="HTMLCode"/>
          <w:sz w:val="24"/>
        </w:rPr>
        <w:t>effective_from</w:t>
      </w:r>
      <w:r w:rsidRPr="00417CFF">
        <w:rPr>
          <w:sz w:val="32"/>
        </w:rPr>
        <w:t xml:space="preserve"> was in force at the moment the call happened — so a later price change never rewrites history.</w:t>
      </w:r>
    </w:p>
    <w:p w:rsidR="00417CFF" w:rsidRPr="00417CFF" w:rsidRDefault="00417CFF" w:rsidP="00417CFF">
      <w:pPr>
        <w:pStyle w:val="Heading3"/>
        <w:rPr>
          <w:sz w:val="28"/>
        </w:rPr>
      </w:pPr>
      <w:r w:rsidRPr="00417CFF">
        <w:rPr>
          <w:sz w:val="28"/>
        </w:rPr>
        <w:t xml:space="preserve">4. </w:t>
      </w:r>
      <w:r w:rsidRPr="00417CFF">
        <w:rPr>
          <w:rStyle w:val="HTMLCode"/>
          <w:rFonts w:eastAsia="Calibri"/>
          <w:sz w:val="24"/>
        </w:rPr>
        <w:t>agents_library</w:t>
      </w:r>
      <w:r w:rsidRPr="00417CFF">
        <w:rPr>
          <w:sz w:val="28"/>
        </w:rPr>
        <w:t xml:space="preserve"> (existing — add columns)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8240"/>
      </w:tblGrid>
      <w:tr w:rsidR="00417CFF" w:rsidRPr="00417CFF" w:rsidTr="00DB4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new column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notes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rStyle w:val="Strong"/>
                <w:sz w:val="24"/>
              </w:rPr>
              <w:t>nullable</w:t>
            </w:r>
            <w:r w:rsidRPr="00417CFF">
              <w:rPr>
                <w:sz w:val="24"/>
              </w:rPr>
              <w:t xml:space="preserve"> FK → tenants. NULL = platform-wide agent (today's behavior — visible in every tenant's Agents Library). A real tenant_id = a </w:t>
            </w:r>
            <w:r w:rsidRPr="00417CFF">
              <w:rPr>
                <w:rStyle w:val="Strong"/>
                <w:sz w:val="24"/>
              </w:rPr>
              <w:t>custom agent</w:t>
            </w:r>
            <w:r w:rsidRPr="00417CFF">
              <w:rPr>
                <w:sz w:val="24"/>
              </w:rPr>
              <w:t>, visible only on that tenant's own console.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default_model_id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nullable FK → ai_models — which model this agent runs on by default</w:t>
            </w:r>
          </w:p>
        </w:tc>
      </w:tr>
    </w:tbl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>Nothing about the existing request/approve flow (</w:t>
      </w:r>
      <w:r w:rsidRPr="00417CFF">
        <w:rPr>
          <w:rStyle w:val="HTMLCode"/>
          <w:sz w:val="24"/>
        </w:rPr>
        <w:t>tenant_agents</w:t>
      </w:r>
      <w:r w:rsidRPr="00417CFF">
        <w:rPr>
          <w:sz w:val="32"/>
        </w:rPr>
        <w:t xml:space="preserve">, </w:t>
      </w:r>
      <w:r w:rsidRPr="00417CFF">
        <w:rPr>
          <w:rStyle w:val="HTMLCode"/>
          <w:sz w:val="24"/>
        </w:rPr>
        <w:t>agent_access_required</w:t>
      </w:r>
      <w:r w:rsidRPr="00417CFF">
        <w:rPr>
          <w:sz w:val="32"/>
        </w:rPr>
        <w:t>) needs to change for a custom agent to work — it's still gated the same way, just invisible to every tenant except the one it belongs to. (Open question below: should a custom agent skip the approval step, since it was purpose-built for that one tenant?)</w:t>
      </w:r>
    </w:p>
    <w:p w:rsidR="00417CFF" w:rsidRPr="00417CFF" w:rsidRDefault="00417CFF" w:rsidP="00417CFF">
      <w:pPr>
        <w:pStyle w:val="Heading3"/>
        <w:rPr>
          <w:sz w:val="28"/>
        </w:rPr>
      </w:pPr>
      <w:r w:rsidRPr="00417CFF">
        <w:rPr>
          <w:sz w:val="28"/>
        </w:rPr>
        <w:t xml:space="preserve">5. </w:t>
      </w:r>
      <w:r w:rsidRPr="00417CFF">
        <w:rPr>
          <w:rStyle w:val="HTMLCode"/>
          <w:rFonts w:eastAsia="Calibri"/>
          <w:sz w:val="24"/>
        </w:rPr>
        <w:t>agent_pricing_plans</w:t>
      </w:r>
      <w:r w:rsidRPr="00417CFF">
        <w:rPr>
          <w:sz w:val="28"/>
        </w:rPr>
        <w:t xml:space="preserve"> (new)</w:t>
      </w:r>
    </w:p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>What you charge for an Agent. One agent can have more than one plan (e.g. a Basic and a Pro tier), and a plan can optionally require a specific model — this is how "a subscription that requires an API key if you pick the advanced model" gets expressed.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7311"/>
      </w:tblGrid>
      <w:tr w:rsidR="00417CFF" w:rsidRPr="00417CFF" w:rsidTr="00DB4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notes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plan_id PK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agent_id FK → agents_library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plan_code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unique per agent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plan_name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e.g. "Standard Monthly", "Pay As You Go"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pricing_model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CHECK IN ('flat_monthly', 'per_transaction')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flat_fee_amount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used when flat_monthly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included_units_per_cycle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used when flat_monthly — e.g. 500 queries/month included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overage_unit_fee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 xml:space="preserve">nullable — price per unit beyond the included cap; NULL means hard-capped, no overage allowed </w:t>
            </w:r>
            <w:r w:rsidRPr="00417CFF">
              <w:rPr>
                <w:rStyle w:val="Emphasis"/>
                <w:sz w:val="24"/>
              </w:rPr>
              <w:t>(see open question)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per_transaction_fee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used when per_transaction — no flat fee, one price per use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required_model_id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nullable FK → ai_models — if set and that model requires a tenant API key, subscribing to this plan requires a credential on file (see below)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default USD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effective_from / effective_to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so a price change doesn't rewrite what a tenant already agreed to</w:t>
            </w:r>
          </w:p>
        </w:tc>
      </w:tr>
      <w:tr w:rsidR="00417CFF" w:rsidRPr="00417CFF" w:rsidTr="00DB4EF7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</w:tbl>
    <w:p w:rsidR="00417CFF" w:rsidRPr="00417CFF" w:rsidRDefault="00417CFF" w:rsidP="00417CFF">
      <w:pPr>
        <w:pStyle w:val="Heading3"/>
        <w:rPr>
          <w:sz w:val="32"/>
          <w:szCs w:val="27"/>
        </w:rPr>
      </w:pPr>
      <w:r w:rsidRPr="00417CFF">
        <w:rPr>
          <w:sz w:val="28"/>
        </w:rPr>
        <w:t xml:space="preserve">6. </w:t>
      </w:r>
      <w:r w:rsidRPr="00417CFF">
        <w:rPr>
          <w:rStyle w:val="HTMLCode"/>
          <w:rFonts w:eastAsia="Calibri"/>
          <w:sz w:val="24"/>
        </w:rPr>
        <w:t>tenant_agents</w:t>
      </w:r>
      <w:r w:rsidRPr="00417CFF">
        <w:rPr>
          <w:sz w:val="28"/>
        </w:rPr>
        <w:t xml:space="preserve"> (existing — add columns)</w:t>
      </w:r>
    </w:p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>This table already tracks the request/approve lifecycle per tenant per agent; it becomes the subscription record too.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6442"/>
      </w:tblGrid>
      <w:tr w:rsidR="00417CFF" w:rsidRPr="00417CFF" w:rsidTr="00417C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new column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notes</w:t>
            </w:r>
          </w:p>
        </w:tc>
      </w:tr>
      <w:tr w:rsidR="00417CFF" w:rsidRPr="00417CFF" w:rsidTr="00417C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pricing_plan_id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nullable FK → agent_pricing_plans — which plan this tenant is on</w:t>
            </w:r>
          </w:p>
        </w:tc>
      </w:tr>
      <w:tr w:rsidR="00417CFF" w:rsidRPr="00417CFF" w:rsidTr="00417C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subscribed_at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when the plan was selected</w:t>
            </w:r>
          </w:p>
        </w:tc>
      </w:tr>
    </w:tbl>
    <w:p w:rsidR="00417CFF" w:rsidRPr="00417CFF" w:rsidRDefault="00417CFF" w:rsidP="00417CFF">
      <w:pPr>
        <w:pStyle w:val="Heading3"/>
        <w:rPr>
          <w:sz w:val="28"/>
        </w:rPr>
      </w:pPr>
      <w:r w:rsidRPr="00417CFF">
        <w:rPr>
          <w:sz w:val="28"/>
        </w:rPr>
        <w:t xml:space="preserve">7. </w:t>
      </w:r>
      <w:r w:rsidRPr="00417CFF">
        <w:rPr>
          <w:rStyle w:val="HTMLCode"/>
          <w:rFonts w:eastAsia="Calibri"/>
          <w:sz w:val="24"/>
        </w:rPr>
        <w:t>tenant_model_credentials</w:t>
      </w:r>
      <w:r w:rsidRPr="00417CFF">
        <w:rPr>
          <w:sz w:val="28"/>
        </w:rPr>
        <w:t xml:space="preserve"> (new)</w:t>
      </w:r>
    </w:p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 xml:space="preserve">A tenant's own API key for a provider, when one is required. Scoped to </w:t>
      </w:r>
      <w:r w:rsidRPr="00417CFF">
        <w:rPr>
          <w:rStyle w:val="Strong"/>
          <w:sz w:val="32"/>
        </w:rPr>
        <w:t>provider</w:t>
      </w:r>
      <w:r w:rsidRPr="00417CFF">
        <w:rPr>
          <w:sz w:val="32"/>
        </w:rPr>
        <w:t xml:space="preserve">, not model — one Anthropic key covers every Anthropic model, the same way your own </w:t>
      </w:r>
      <w:r w:rsidRPr="00417CFF">
        <w:rPr>
          <w:rStyle w:val="HTMLCode"/>
          <w:sz w:val="24"/>
        </w:rPr>
        <w:t>.env</w:t>
      </w:r>
      <w:r w:rsidRPr="00417CFF">
        <w:rPr>
          <w:sz w:val="32"/>
        </w:rPr>
        <w:t xml:space="preserve"> key does today.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7725"/>
      </w:tblGrid>
      <w:tr w:rsidR="00417CFF" w:rsidRPr="00417CFF" w:rsidTr="00DB4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notes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credential_id PK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tenant_id FK → tenants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provider_id FK → ai_providers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api_key_wrapped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encrypted — reuses the tenant's existing DEK (same envelope-encryption pattern already used for every other encrypted field in GSS, see security/crypto.py), not a new encryption scheme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tenant's own nickname for the key, e.g. "Production key"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added_by_user_id, added_at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32"/>
                <w:szCs w:val="24"/>
              </w:rPr>
            </w:pPr>
            <w:r w:rsidRPr="00417CFF">
              <w:rPr>
                <w:sz w:val="24"/>
              </w:rPr>
              <w:t>last_used_at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updated on each successful call</w:t>
            </w:r>
          </w:p>
        </w:tc>
      </w:tr>
      <w:tr w:rsidR="00417CFF" w:rsidRPr="00417CFF" w:rsidTr="00DB4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</w:p>
        </w:tc>
      </w:tr>
    </w:tbl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>UNIQUE (tenant_id, provider_id) if a tenant should only ever have one active key per provider — worth confirming, some orgs like to rotate with an overlap period.</w:t>
      </w:r>
    </w:p>
    <w:p w:rsidR="00417CFF" w:rsidRPr="00417CFF" w:rsidRDefault="00417CFF" w:rsidP="00417CFF">
      <w:pPr>
        <w:pStyle w:val="Heading3"/>
        <w:rPr>
          <w:sz w:val="28"/>
        </w:rPr>
      </w:pPr>
      <w:r w:rsidRPr="00417CFF">
        <w:rPr>
          <w:sz w:val="28"/>
        </w:rPr>
        <w:t xml:space="preserve">8. </w:t>
      </w:r>
      <w:r w:rsidRPr="00417CFF">
        <w:rPr>
          <w:rStyle w:val="HTMLCode"/>
          <w:rFonts w:eastAsia="Calibri"/>
          <w:sz w:val="24"/>
        </w:rPr>
        <w:t>agent_usage_log</w:t>
      </w:r>
      <w:r w:rsidRPr="00417CFF">
        <w:rPr>
          <w:sz w:val="28"/>
        </w:rPr>
        <w:t xml:space="preserve"> (existing — add columns)</w:t>
      </w:r>
    </w:p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 xml:space="preserve">Already logs tenant, agent, user, timestamp, units on every </w:t>
      </w:r>
      <w:r w:rsidRPr="00417CFF">
        <w:rPr>
          <w:rStyle w:val="Emphasis"/>
          <w:sz w:val="32"/>
        </w:rPr>
        <w:t>successful</w:t>
      </w:r>
      <w:r w:rsidRPr="00417CFF">
        <w:rPr>
          <w:sz w:val="32"/>
        </w:rPr>
        <w:t xml:space="preserve"> call (per </w:t>
      </w:r>
      <w:r w:rsidRPr="00417CFF">
        <w:rPr>
          <w:rStyle w:val="HTMLCode"/>
          <w:sz w:val="24"/>
        </w:rPr>
        <w:t>agents.py</w:t>
      </w:r>
      <w:r w:rsidRPr="00417CFF">
        <w:rPr>
          <w:sz w:val="32"/>
        </w:rPr>
        <w:t xml:space="preserve">'s </w:t>
      </w:r>
      <w:r w:rsidRPr="00417CFF">
        <w:rPr>
          <w:rStyle w:val="HTMLCode"/>
          <w:sz w:val="24"/>
        </w:rPr>
        <w:t>log_agent_usage</w:t>
      </w:r>
      <w:r w:rsidRPr="00417CFF">
        <w:rPr>
          <w:sz w:val="32"/>
        </w:rPr>
        <w:t>). Extending it to carry the numbers a profit/loss report actually needs: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7906"/>
      </w:tblGrid>
      <w:tr w:rsidR="00417CFF" w:rsidRPr="00417CFF" w:rsidTr="00F10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new column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jc w:val="center"/>
              <w:rPr>
                <w:b/>
                <w:bCs/>
                <w:sz w:val="24"/>
              </w:rPr>
            </w:pPr>
            <w:r w:rsidRPr="00417CFF">
              <w:rPr>
                <w:b/>
                <w:bCs/>
                <w:sz w:val="24"/>
              </w:rPr>
              <w:t>notes</w:t>
            </w:r>
          </w:p>
        </w:tc>
      </w:tr>
      <w:tr w:rsidR="00417CFF" w:rsidRPr="00417CFF" w:rsidTr="00F10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model_id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which model actually served this call</w:t>
            </w:r>
          </w:p>
        </w:tc>
      </w:tr>
      <w:tr w:rsidR="00417CFF" w:rsidRPr="00417CFF" w:rsidTr="00F10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credential_id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nullable FK → tenant_model_credentials — which key was used (NULL = platform's shared key)</w:t>
            </w:r>
          </w:p>
        </w:tc>
      </w:tr>
      <w:tr w:rsidR="00417CFF" w:rsidRPr="00417CFF" w:rsidTr="00F10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tokens_input, tokens_output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from the provider's response</w:t>
            </w:r>
          </w:p>
        </w:tc>
      </w:tr>
      <w:tr w:rsidR="00417CFF" w:rsidRPr="00417CFF" w:rsidTr="00F10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actual_cost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 xml:space="preserve">computed from tokens × the model's rate in force at </w:t>
            </w:r>
            <w:r w:rsidRPr="00417CFF">
              <w:rPr>
                <w:rStyle w:val="HTMLCode"/>
                <w:rFonts w:eastAsia="Calibri"/>
                <w:sz w:val="24"/>
              </w:rPr>
              <w:t>used_at</w:t>
            </w:r>
          </w:p>
        </w:tc>
      </w:tr>
      <w:tr w:rsidR="00417CFF" w:rsidRPr="00417CFF" w:rsidTr="00F10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>billed_units</w:t>
            </w:r>
          </w:p>
        </w:tc>
        <w:tc>
          <w:tcPr>
            <w:tcW w:w="0" w:type="auto"/>
            <w:vAlign w:val="center"/>
            <w:hideMark/>
          </w:tcPr>
          <w:p w:rsidR="00417CFF" w:rsidRPr="00417CFF" w:rsidRDefault="00417CFF">
            <w:pPr>
              <w:rPr>
                <w:sz w:val="24"/>
              </w:rPr>
            </w:pPr>
            <w:r w:rsidRPr="00417CFF">
              <w:rPr>
                <w:sz w:val="24"/>
              </w:rPr>
              <w:t xml:space="preserve">already effectively </w:t>
            </w:r>
            <w:r w:rsidRPr="00417CFF">
              <w:rPr>
                <w:rStyle w:val="HTMLCode"/>
                <w:rFonts w:eastAsia="Calibri"/>
                <w:sz w:val="24"/>
              </w:rPr>
              <w:t>units</w:t>
            </w:r>
            <w:r w:rsidRPr="00417CFF">
              <w:rPr>
                <w:sz w:val="24"/>
              </w:rPr>
              <w:t xml:space="preserve"> today; kept explicit as "what counts against the tenant's plan cap/per-transaction fee," separate from raw token counts</w:t>
            </w:r>
          </w:p>
        </w:tc>
      </w:tr>
    </w:tbl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sz w:val="32"/>
        </w:rPr>
        <w:t xml:space="preserve">With this, for any tenant + agent + date range: </w:t>
      </w:r>
      <w:r w:rsidRPr="00417CFF">
        <w:rPr>
          <w:rStyle w:val="HTMLCode"/>
          <w:sz w:val="24"/>
        </w:rPr>
        <w:t>SUM(actual_cost)</w:t>
      </w:r>
      <w:r w:rsidRPr="00417CFF">
        <w:rPr>
          <w:sz w:val="32"/>
        </w:rPr>
        <w:t xml:space="preserve"> is the real cost, and the billed amount is computed from their </w:t>
      </w:r>
      <w:r w:rsidRPr="00417CFF">
        <w:rPr>
          <w:rStyle w:val="HTMLCode"/>
          <w:sz w:val="24"/>
        </w:rPr>
        <w:t>pricing_plan</w:t>
      </w:r>
      <w:r w:rsidRPr="00417CFF">
        <w:rPr>
          <w:sz w:val="32"/>
        </w:rPr>
        <w:t xml:space="preserve"> (flat fee, or </w:t>
      </w:r>
      <w:r w:rsidRPr="00417CFF">
        <w:rPr>
          <w:rStyle w:val="HTMLCode"/>
          <w:sz w:val="24"/>
        </w:rPr>
        <w:t>per_transaction_fee × count</w:t>
      </w:r>
      <w:r w:rsidRPr="00417CFF">
        <w:rPr>
          <w:sz w:val="32"/>
        </w:rPr>
        <w:t>, respecting the included-units cap). Profit/loss = billed − actual cost.</w:t>
      </w:r>
    </w:p>
    <w:p w:rsidR="00417CFF" w:rsidRPr="00417CFF" w:rsidRDefault="00417CFF" w:rsidP="00417CFF">
      <w:pPr>
        <w:pStyle w:val="Heading2"/>
        <w:rPr>
          <w:sz w:val="32"/>
        </w:rPr>
      </w:pPr>
      <w:r w:rsidRPr="00417CFF">
        <w:rPr>
          <w:sz w:val="32"/>
        </w:rPr>
        <w:t>Phasing</w:t>
      </w:r>
    </w:p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rStyle w:val="Strong"/>
          <w:sz w:val="32"/>
        </w:rPr>
        <w:t>Phase 1 (proposed for this round, tested on Granite Signal Systems):</w:t>
      </w:r>
    </w:p>
    <w:p w:rsidR="00417CFF" w:rsidRPr="00417CFF" w:rsidRDefault="00417CFF" w:rsidP="00417CFF">
      <w:pPr>
        <w:numPr>
          <w:ilvl w:val="0"/>
          <w:numId w:val="23"/>
        </w:numPr>
        <w:spacing w:before="100" w:beforeAutospacing="1" w:after="100" w:afterAutospacing="1"/>
        <w:rPr>
          <w:sz w:val="24"/>
        </w:rPr>
      </w:pPr>
      <w:r w:rsidRPr="00417CFF">
        <w:rPr>
          <w:sz w:val="24"/>
        </w:rPr>
        <w:t xml:space="preserve">All eight schema pieces above, as an additive migration (same append-only pattern as every other migration in </w:t>
      </w:r>
      <w:r w:rsidRPr="00417CFF">
        <w:rPr>
          <w:rStyle w:val="HTMLCode"/>
          <w:rFonts w:eastAsia="Calibri"/>
          <w:sz w:val="24"/>
        </w:rPr>
        <w:t>db.py</w:t>
      </w:r>
      <w:r w:rsidRPr="00417CFF">
        <w:rPr>
          <w:sz w:val="24"/>
        </w:rPr>
        <w:t>).</w:t>
      </w:r>
    </w:p>
    <w:p w:rsidR="00417CFF" w:rsidRPr="00417CFF" w:rsidRDefault="00417CFF" w:rsidP="00417CFF">
      <w:pPr>
        <w:numPr>
          <w:ilvl w:val="0"/>
          <w:numId w:val="23"/>
        </w:numPr>
        <w:spacing w:before="100" w:beforeAutospacing="1" w:after="100" w:afterAutospacing="1"/>
        <w:rPr>
          <w:sz w:val="24"/>
        </w:rPr>
      </w:pPr>
      <w:r w:rsidRPr="00417CFF">
        <w:rPr>
          <w:sz w:val="24"/>
        </w:rPr>
        <w:t xml:space="preserve">Seed </w:t>
      </w:r>
      <w:r w:rsidRPr="00417CFF">
        <w:rPr>
          <w:rStyle w:val="HTMLCode"/>
          <w:rFonts w:eastAsia="Calibri"/>
          <w:sz w:val="24"/>
        </w:rPr>
        <w:t>ai_providers</w:t>
      </w:r>
      <w:r w:rsidRPr="00417CFF">
        <w:rPr>
          <w:sz w:val="24"/>
        </w:rPr>
        <w:t>/</w:t>
      </w:r>
      <w:r w:rsidRPr="00417CFF">
        <w:rPr>
          <w:rStyle w:val="HTMLCode"/>
          <w:rFonts w:eastAsia="Calibri"/>
          <w:sz w:val="24"/>
        </w:rPr>
        <w:t>ai_models</w:t>
      </w:r>
      <w:r w:rsidRPr="00417CFF">
        <w:rPr>
          <w:sz w:val="24"/>
        </w:rPr>
        <w:t>/</w:t>
      </w:r>
      <w:r w:rsidRPr="00417CFF">
        <w:rPr>
          <w:rStyle w:val="HTMLCode"/>
          <w:rFonts w:eastAsia="Calibri"/>
          <w:sz w:val="24"/>
        </w:rPr>
        <w:t>ai_model_rates</w:t>
      </w:r>
      <w:r w:rsidRPr="00417CFF">
        <w:rPr>
          <w:sz w:val="24"/>
        </w:rPr>
        <w:t xml:space="preserve"> with Anthropic + </w:t>
      </w:r>
      <w:r w:rsidRPr="00417CFF">
        <w:rPr>
          <w:rStyle w:val="HTMLCode"/>
          <w:rFonts w:eastAsia="Calibri"/>
          <w:sz w:val="24"/>
        </w:rPr>
        <w:t>claude-sonnet-5</w:t>
      </w:r>
      <w:r w:rsidRPr="00417CFF">
        <w:rPr>
          <w:sz w:val="24"/>
        </w:rPr>
        <w:t xml:space="preserve"> at its real current published rate, and seed one </w:t>
      </w:r>
      <w:r w:rsidRPr="00417CFF">
        <w:rPr>
          <w:rStyle w:val="HTMLCode"/>
          <w:rFonts w:eastAsia="Calibri"/>
          <w:sz w:val="24"/>
        </w:rPr>
        <w:t>agent_pricing_plans</w:t>
      </w:r>
      <w:r w:rsidRPr="00417CFF">
        <w:rPr>
          <w:sz w:val="24"/>
        </w:rPr>
        <w:t xml:space="preserve"> row per existing agent (you supply the actual numbers).</w:t>
      </w:r>
    </w:p>
    <w:p w:rsidR="00417CFF" w:rsidRPr="00417CFF" w:rsidRDefault="00417CFF" w:rsidP="00417CFF">
      <w:pPr>
        <w:numPr>
          <w:ilvl w:val="0"/>
          <w:numId w:val="23"/>
        </w:numPr>
        <w:spacing w:before="100" w:beforeAutospacing="1" w:after="100" w:afterAutospacing="1"/>
        <w:rPr>
          <w:sz w:val="24"/>
        </w:rPr>
      </w:pPr>
      <w:r w:rsidRPr="00417CFF">
        <w:rPr>
          <w:sz w:val="24"/>
        </w:rPr>
        <w:t xml:space="preserve">Wire </w:t>
      </w:r>
      <w:r w:rsidRPr="00417CFF">
        <w:rPr>
          <w:rStyle w:val="HTMLCode"/>
          <w:rFonts w:eastAsia="Calibri"/>
          <w:sz w:val="24"/>
        </w:rPr>
        <w:t>business_card_import.py</w:t>
      </w:r>
      <w:r w:rsidRPr="00417CFF">
        <w:rPr>
          <w:sz w:val="24"/>
        </w:rPr>
        <w:t xml:space="preserve"> / </w:t>
      </w:r>
      <w:r w:rsidRPr="00417CFF">
        <w:rPr>
          <w:rStyle w:val="HTMLCode"/>
          <w:rFonts w:eastAsia="Calibri"/>
          <w:sz w:val="24"/>
        </w:rPr>
        <w:t>ad_import.py</w:t>
      </w:r>
      <w:r w:rsidRPr="00417CFF">
        <w:rPr>
          <w:sz w:val="24"/>
        </w:rPr>
        <w:t xml:space="preserve"> to record </w:t>
      </w:r>
      <w:r w:rsidRPr="00417CFF">
        <w:rPr>
          <w:rStyle w:val="HTMLCode"/>
          <w:rFonts w:eastAsia="Calibri"/>
          <w:sz w:val="24"/>
        </w:rPr>
        <w:t>tokens_input</w:t>
      </w:r>
      <w:r w:rsidRPr="00417CFF">
        <w:rPr>
          <w:sz w:val="24"/>
        </w:rPr>
        <w:t>/</w:t>
      </w:r>
      <w:r w:rsidRPr="00417CFF">
        <w:rPr>
          <w:rStyle w:val="HTMLCode"/>
          <w:rFonts w:eastAsia="Calibri"/>
          <w:sz w:val="24"/>
        </w:rPr>
        <w:t>tokens_output</w:t>
      </w:r>
      <w:r w:rsidRPr="00417CFF">
        <w:rPr>
          <w:sz w:val="24"/>
        </w:rPr>
        <w:t>/</w:t>
      </w:r>
      <w:r w:rsidRPr="00417CFF">
        <w:rPr>
          <w:rStyle w:val="HTMLCode"/>
          <w:rFonts w:eastAsia="Calibri"/>
          <w:sz w:val="24"/>
        </w:rPr>
        <w:t>actual_cost</w:t>
      </w:r>
      <w:r w:rsidRPr="00417CFF">
        <w:rPr>
          <w:sz w:val="24"/>
        </w:rPr>
        <w:t>/</w:t>
      </w:r>
      <w:r w:rsidRPr="00417CFF">
        <w:rPr>
          <w:rStyle w:val="HTMLCode"/>
          <w:rFonts w:eastAsia="Calibri"/>
          <w:sz w:val="24"/>
        </w:rPr>
        <w:t>model_id</w:t>
      </w:r>
      <w:r w:rsidRPr="00417CFF">
        <w:rPr>
          <w:sz w:val="24"/>
        </w:rPr>
        <w:t xml:space="preserve"> on every successful call (the Anthropic SDK returns token usage on every response — this is a small, low-risk change to each module's existing call site).</w:t>
      </w:r>
    </w:p>
    <w:p w:rsidR="00417CFF" w:rsidRPr="00417CFF" w:rsidRDefault="00417CFF" w:rsidP="00417CFF">
      <w:pPr>
        <w:numPr>
          <w:ilvl w:val="0"/>
          <w:numId w:val="23"/>
        </w:numPr>
        <w:spacing w:before="100" w:beforeAutospacing="1" w:after="100" w:afterAutospacing="1"/>
        <w:rPr>
          <w:sz w:val="24"/>
        </w:rPr>
      </w:pPr>
      <w:r w:rsidRPr="00417CFF">
        <w:rPr>
          <w:sz w:val="24"/>
        </w:rPr>
        <w:t>A SystemAdmin-facing screen: the Agent/Model/Pricing catalog (read/edit), and a per-tenant "usage vs. cost vs. billed" report — this is the profit/loss view, computed live from the tables above rather than a stored statement.</w:t>
      </w:r>
    </w:p>
    <w:p w:rsidR="00417CFF" w:rsidRPr="00417CFF" w:rsidRDefault="00417CFF" w:rsidP="00417CFF">
      <w:pPr>
        <w:numPr>
          <w:ilvl w:val="0"/>
          <w:numId w:val="23"/>
        </w:numPr>
        <w:spacing w:before="100" w:beforeAutospacing="1" w:after="100" w:afterAutospacing="1"/>
        <w:rPr>
          <w:sz w:val="24"/>
        </w:rPr>
      </w:pPr>
      <w:r w:rsidRPr="00417CFF">
        <w:rPr>
          <w:sz w:val="24"/>
        </w:rPr>
        <w:t>A tenant-facing screen (Tenant Management or a new "Billing" area) for a TenantAdmin to add/rotate their own provider API key when their plan requires one.</w:t>
      </w:r>
    </w:p>
    <w:p w:rsidR="00417CFF" w:rsidRPr="00417CFF" w:rsidRDefault="00417CFF" w:rsidP="00417CFF">
      <w:pPr>
        <w:pStyle w:val="NormalWeb"/>
        <w:rPr>
          <w:sz w:val="32"/>
        </w:rPr>
      </w:pPr>
      <w:r w:rsidRPr="00417CFF">
        <w:rPr>
          <w:rStyle w:val="Strong"/>
          <w:sz w:val="32"/>
        </w:rPr>
        <w:t>Phase 2 (later, once Phase 1 is validated):</w:t>
      </w:r>
    </w:p>
    <w:p w:rsidR="00417CFF" w:rsidRPr="00417CFF" w:rsidRDefault="00417CFF" w:rsidP="00417CFF">
      <w:pPr>
        <w:numPr>
          <w:ilvl w:val="0"/>
          <w:numId w:val="24"/>
        </w:numPr>
        <w:spacing w:before="100" w:beforeAutospacing="1" w:after="100" w:afterAutospacing="1"/>
        <w:rPr>
          <w:sz w:val="24"/>
        </w:rPr>
      </w:pPr>
      <w:r w:rsidRPr="00417CFF">
        <w:rPr>
          <w:rStyle w:val="HTMLCode"/>
          <w:rFonts w:eastAsia="Calibri"/>
          <w:sz w:val="24"/>
        </w:rPr>
        <w:t>tenant_agent_billing_statements</w:t>
      </w:r>
      <w:r w:rsidRPr="00417CFF">
        <w:rPr>
          <w:sz w:val="24"/>
        </w:rPr>
        <w:t xml:space="preserve"> — a frozen, generated-once-per-cycle snapshot (period, units used, amount billed, actual cost, margin, status: Draft/Issued/Paid) so a bill, once issued, doesn't silently change if usage rows or pricing are edited afterward. This is the actual "backend billing module bills the client" piece — Phase 1 gives you the live numbers to design this against with real data first.</w:t>
      </w:r>
    </w:p>
    <w:p w:rsidR="00417CFF" w:rsidRPr="00417CFF" w:rsidRDefault="00417CFF" w:rsidP="00417CFF">
      <w:pPr>
        <w:pStyle w:val="Heading2"/>
        <w:rPr>
          <w:sz w:val="32"/>
        </w:rPr>
      </w:pPr>
      <w:r w:rsidRPr="00417CFF">
        <w:rPr>
          <w:sz w:val="32"/>
        </w:rPr>
        <w:t>Open questions before I build Phase 1</w:t>
      </w:r>
    </w:p>
    <w:p w:rsidR="00417CFF" w:rsidRPr="00F67B7C" w:rsidRDefault="00417CFF" w:rsidP="00417CFF">
      <w:pPr>
        <w:numPr>
          <w:ilvl w:val="0"/>
          <w:numId w:val="25"/>
        </w:numPr>
        <w:spacing w:before="100" w:beforeAutospacing="1" w:after="100" w:afterAutospacing="1"/>
        <w:rPr>
          <w:sz w:val="28"/>
        </w:rPr>
      </w:pPr>
      <w:bookmarkStart w:id="0" w:name="_GoBack"/>
      <w:r w:rsidRPr="00F67B7C">
        <w:rPr>
          <w:rStyle w:val="Strong"/>
          <w:sz w:val="28"/>
        </w:rPr>
        <w:t>Overage behavior on a flat-monthly plan.</w:t>
      </w:r>
      <w:r w:rsidRPr="00F67B7C">
        <w:rPr>
          <w:sz w:val="28"/>
        </w:rPr>
        <w:t xml:space="preserve"> If a tenant is capped at, say, 500 queries/month and goes over: should the agent simply stop working until next cycle (hard cap), or keep working and charge </w:t>
      </w:r>
      <w:r w:rsidRPr="00F67B7C">
        <w:rPr>
          <w:rStyle w:val="HTMLCode"/>
          <w:rFonts w:eastAsia="Calibri"/>
          <w:sz w:val="28"/>
        </w:rPr>
        <w:t>overage_unit_fee</w:t>
      </w:r>
      <w:r w:rsidRPr="00F67B7C">
        <w:rPr>
          <w:sz w:val="28"/>
        </w:rPr>
        <w:t xml:space="preserve"> per extra unit (metered overage)? This changes what </w:t>
      </w:r>
      <w:r w:rsidRPr="00F67B7C">
        <w:rPr>
          <w:rStyle w:val="HTMLCode"/>
          <w:rFonts w:eastAsia="Calibri"/>
          <w:sz w:val="28"/>
        </w:rPr>
        <w:t>agent_access_required</w:t>
      </w:r>
      <w:r w:rsidRPr="00F67B7C">
        <w:rPr>
          <w:sz w:val="28"/>
        </w:rPr>
        <w:t xml:space="preserve"> needs to check at request time.</w:t>
      </w:r>
    </w:p>
    <w:p w:rsidR="00417CFF" w:rsidRPr="00F67B7C" w:rsidRDefault="00417CFF" w:rsidP="00417CFF">
      <w:pPr>
        <w:numPr>
          <w:ilvl w:val="0"/>
          <w:numId w:val="25"/>
        </w:numPr>
        <w:spacing w:before="100" w:beforeAutospacing="1" w:after="100" w:afterAutospacing="1"/>
        <w:rPr>
          <w:sz w:val="28"/>
        </w:rPr>
      </w:pPr>
      <w:r w:rsidRPr="00F67B7C">
        <w:rPr>
          <w:rStyle w:val="Strong"/>
          <w:sz w:val="28"/>
        </w:rPr>
        <w:t>Custom (tenant-only) agents — still go through request/approve, or auto-approved?</w:t>
      </w:r>
      <w:r w:rsidRPr="00F67B7C">
        <w:rPr>
          <w:sz w:val="28"/>
        </w:rPr>
        <w:t xml:space="preserve"> Since a custom agent is purpose-built for one tenant, does it make sense for that tenant to still click "Request Access" and wait for SystemAdmin approval, or should it land already-approved?</w:t>
      </w:r>
    </w:p>
    <w:p w:rsidR="00417CFF" w:rsidRPr="00F67B7C" w:rsidRDefault="00417CFF" w:rsidP="00417CFF">
      <w:pPr>
        <w:numPr>
          <w:ilvl w:val="0"/>
          <w:numId w:val="25"/>
        </w:numPr>
        <w:spacing w:before="100" w:beforeAutospacing="1" w:after="100" w:afterAutospacing="1"/>
        <w:rPr>
          <w:sz w:val="28"/>
        </w:rPr>
      </w:pPr>
      <w:r w:rsidRPr="00F67B7C">
        <w:rPr>
          <w:rStyle w:val="Strong"/>
          <w:sz w:val="28"/>
        </w:rPr>
        <w:t>One active credential per provider, or several?</w:t>
      </w:r>
      <w:r w:rsidRPr="00F67B7C">
        <w:rPr>
          <w:sz w:val="28"/>
        </w:rPr>
        <w:t xml:space="preserve"> Whether </w:t>
      </w:r>
      <w:r w:rsidRPr="00F67B7C">
        <w:rPr>
          <w:rStyle w:val="HTMLCode"/>
          <w:rFonts w:eastAsia="Calibri"/>
          <w:sz w:val="28"/>
        </w:rPr>
        <w:t>tenant_model_credentials</w:t>
      </w:r>
      <w:r w:rsidRPr="00F67B7C">
        <w:rPr>
          <w:sz w:val="28"/>
        </w:rPr>
        <w:t xml:space="preserve"> should hard-enforce one active key per tenant per provider, or allow multiple (e.g. to rotate keys with an overlap period, or separate keys per department within one tenant — probably out of scope for now, but worth deciding the constraint now rather than migrating it later).</w:t>
      </w:r>
    </w:p>
    <w:bookmarkEnd w:id="0"/>
    <w:p w:rsidR="001C41D1" w:rsidRPr="00417CFF" w:rsidRDefault="001C41D1" w:rsidP="00417CFF"/>
    <w:sectPr w:rsidR="001C41D1" w:rsidRPr="00417CFF" w:rsidSect="00407F5D">
      <w:footerReference w:type="default" r:id="rId7"/>
      <w:pgSz w:w="12240" w:h="15840"/>
      <w:pgMar w:top="864" w:right="864" w:bottom="864" w:left="1296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5A6A" w:rsidRDefault="00AC5A6A" w:rsidP="00612397">
      <w:r>
        <w:separator/>
      </w:r>
    </w:p>
  </w:endnote>
  <w:endnote w:type="continuationSeparator" w:id="0">
    <w:p w:rsidR="00AC5A6A" w:rsidRDefault="00AC5A6A" w:rsidP="00612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34784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12397" w:rsidRDefault="006123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5A6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12397" w:rsidRDefault="00612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5A6A" w:rsidRDefault="00AC5A6A" w:rsidP="00612397">
      <w:r>
        <w:separator/>
      </w:r>
    </w:p>
  </w:footnote>
  <w:footnote w:type="continuationSeparator" w:id="0">
    <w:p w:rsidR="00AC5A6A" w:rsidRDefault="00AC5A6A" w:rsidP="00612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E4653"/>
    <w:multiLevelType w:val="multilevel"/>
    <w:tmpl w:val="5142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0B6E"/>
    <w:multiLevelType w:val="multilevel"/>
    <w:tmpl w:val="7094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872C6"/>
    <w:multiLevelType w:val="hybridMultilevel"/>
    <w:tmpl w:val="C60E8922"/>
    <w:lvl w:ilvl="0" w:tplc="54E08A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D4431"/>
    <w:multiLevelType w:val="multilevel"/>
    <w:tmpl w:val="A480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46AC5"/>
    <w:multiLevelType w:val="multilevel"/>
    <w:tmpl w:val="CDAC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70920"/>
    <w:multiLevelType w:val="multilevel"/>
    <w:tmpl w:val="642E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571AF"/>
    <w:multiLevelType w:val="multilevel"/>
    <w:tmpl w:val="2AF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E5F12"/>
    <w:multiLevelType w:val="hybridMultilevel"/>
    <w:tmpl w:val="9AFAF528"/>
    <w:lvl w:ilvl="0" w:tplc="CB5AF9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85F98"/>
    <w:multiLevelType w:val="hybridMultilevel"/>
    <w:tmpl w:val="4EE4E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102C6"/>
    <w:multiLevelType w:val="multilevel"/>
    <w:tmpl w:val="4AAC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311F8"/>
    <w:multiLevelType w:val="multilevel"/>
    <w:tmpl w:val="2862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96262"/>
    <w:multiLevelType w:val="multilevel"/>
    <w:tmpl w:val="44F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01106"/>
    <w:multiLevelType w:val="multilevel"/>
    <w:tmpl w:val="A7947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E96EB6"/>
    <w:multiLevelType w:val="multilevel"/>
    <w:tmpl w:val="12E8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02E76"/>
    <w:multiLevelType w:val="multilevel"/>
    <w:tmpl w:val="5166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D2B9F"/>
    <w:multiLevelType w:val="hybridMultilevel"/>
    <w:tmpl w:val="56DE1A36"/>
    <w:lvl w:ilvl="0" w:tplc="087011C8">
      <w:start w:val="1"/>
      <w:numFmt w:val="bullet"/>
      <w:lvlText w:val="•"/>
      <w:lvlJc w:val="left"/>
      <w:pPr>
        <w:ind w:left="450" w:hanging="260"/>
      </w:pPr>
    </w:lvl>
    <w:lvl w:ilvl="1" w:tplc="885A477A">
      <w:numFmt w:val="decimal"/>
      <w:lvlText w:val=""/>
      <w:lvlJc w:val="left"/>
    </w:lvl>
    <w:lvl w:ilvl="2" w:tplc="8CA88C78">
      <w:numFmt w:val="decimal"/>
      <w:lvlText w:val=""/>
      <w:lvlJc w:val="left"/>
    </w:lvl>
    <w:lvl w:ilvl="3" w:tplc="57247FAC">
      <w:numFmt w:val="decimal"/>
      <w:lvlText w:val=""/>
      <w:lvlJc w:val="left"/>
    </w:lvl>
    <w:lvl w:ilvl="4" w:tplc="4FBC3934">
      <w:numFmt w:val="decimal"/>
      <w:lvlText w:val=""/>
      <w:lvlJc w:val="left"/>
    </w:lvl>
    <w:lvl w:ilvl="5" w:tplc="02920CE0">
      <w:numFmt w:val="decimal"/>
      <w:lvlText w:val=""/>
      <w:lvlJc w:val="left"/>
    </w:lvl>
    <w:lvl w:ilvl="6" w:tplc="3B7C85E8">
      <w:numFmt w:val="decimal"/>
      <w:lvlText w:val=""/>
      <w:lvlJc w:val="left"/>
    </w:lvl>
    <w:lvl w:ilvl="7" w:tplc="95CAD3BA">
      <w:numFmt w:val="decimal"/>
      <w:lvlText w:val=""/>
      <w:lvlJc w:val="left"/>
    </w:lvl>
    <w:lvl w:ilvl="8" w:tplc="33D60BC8">
      <w:numFmt w:val="decimal"/>
      <w:lvlText w:val=""/>
      <w:lvlJc w:val="left"/>
    </w:lvl>
  </w:abstractNum>
  <w:abstractNum w:abstractNumId="16" w15:restartNumberingAfterBreak="0">
    <w:nsid w:val="437A58EB"/>
    <w:multiLevelType w:val="hybridMultilevel"/>
    <w:tmpl w:val="FD648CC8"/>
    <w:lvl w:ilvl="0" w:tplc="513A9272">
      <w:start w:val="1"/>
      <w:numFmt w:val="bullet"/>
      <w:lvlText w:val="●"/>
      <w:lvlJc w:val="left"/>
      <w:pPr>
        <w:ind w:left="720" w:hanging="360"/>
      </w:pPr>
    </w:lvl>
    <w:lvl w:ilvl="1" w:tplc="C75E0BB4">
      <w:start w:val="1"/>
      <w:numFmt w:val="bullet"/>
      <w:lvlText w:val="○"/>
      <w:lvlJc w:val="left"/>
      <w:pPr>
        <w:ind w:left="1440" w:hanging="360"/>
      </w:pPr>
    </w:lvl>
    <w:lvl w:ilvl="2" w:tplc="59B62406">
      <w:start w:val="1"/>
      <w:numFmt w:val="bullet"/>
      <w:lvlText w:val="■"/>
      <w:lvlJc w:val="left"/>
      <w:pPr>
        <w:ind w:left="2160" w:hanging="360"/>
      </w:pPr>
    </w:lvl>
    <w:lvl w:ilvl="3" w:tplc="6D3063C2">
      <w:start w:val="1"/>
      <w:numFmt w:val="bullet"/>
      <w:lvlText w:val="●"/>
      <w:lvlJc w:val="left"/>
      <w:pPr>
        <w:ind w:left="2880" w:hanging="360"/>
      </w:pPr>
    </w:lvl>
    <w:lvl w:ilvl="4" w:tplc="6792DE04">
      <w:start w:val="1"/>
      <w:numFmt w:val="bullet"/>
      <w:lvlText w:val="○"/>
      <w:lvlJc w:val="left"/>
      <w:pPr>
        <w:ind w:left="3600" w:hanging="360"/>
      </w:pPr>
    </w:lvl>
    <w:lvl w:ilvl="5" w:tplc="BC967DDA">
      <w:start w:val="1"/>
      <w:numFmt w:val="bullet"/>
      <w:lvlText w:val="■"/>
      <w:lvlJc w:val="left"/>
      <w:pPr>
        <w:ind w:left="4320" w:hanging="360"/>
      </w:pPr>
    </w:lvl>
    <w:lvl w:ilvl="6" w:tplc="B9FCA252">
      <w:start w:val="1"/>
      <w:numFmt w:val="bullet"/>
      <w:lvlText w:val="●"/>
      <w:lvlJc w:val="left"/>
      <w:pPr>
        <w:ind w:left="5040" w:hanging="360"/>
      </w:pPr>
    </w:lvl>
    <w:lvl w:ilvl="7" w:tplc="97C600DA">
      <w:start w:val="1"/>
      <w:numFmt w:val="bullet"/>
      <w:lvlText w:val="●"/>
      <w:lvlJc w:val="left"/>
      <w:pPr>
        <w:ind w:left="5760" w:hanging="360"/>
      </w:pPr>
    </w:lvl>
    <w:lvl w:ilvl="8" w:tplc="22C2B7AA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496E4E3F"/>
    <w:multiLevelType w:val="multilevel"/>
    <w:tmpl w:val="0B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75CBD"/>
    <w:multiLevelType w:val="multilevel"/>
    <w:tmpl w:val="F1AA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70E4F"/>
    <w:multiLevelType w:val="multilevel"/>
    <w:tmpl w:val="20E2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C7DC1"/>
    <w:multiLevelType w:val="multilevel"/>
    <w:tmpl w:val="46CA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C4443"/>
    <w:multiLevelType w:val="multilevel"/>
    <w:tmpl w:val="F0F0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C63D1"/>
    <w:multiLevelType w:val="multilevel"/>
    <w:tmpl w:val="38E4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C3656"/>
    <w:multiLevelType w:val="multilevel"/>
    <w:tmpl w:val="6E1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D0DE0"/>
    <w:multiLevelType w:val="multilevel"/>
    <w:tmpl w:val="F3BA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  <w:lvlOverride w:ilvl="0">
      <w:startOverride w:val="1"/>
    </w:lvlOverride>
  </w:num>
  <w:num w:numId="2">
    <w:abstractNumId w:val="15"/>
    <w:lvlOverride w:ilvl="0">
      <w:startOverride w:val="1"/>
    </w:lvlOverride>
  </w:num>
  <w:num w:numId="3">
    <w:abstractNumId w:val="11"/>
  </w:num>
  <w:num w:numId="4">
    <w:abstractNumId w:val="4"/>
  </w:num>
  <w:num w:numId="5">
    <w:abstractNumId w:val="8"/>
  </w:num>
  <w:num w:numId="6">
    <w:abstractNumId w:val="2"/>
  </w:num>
  <w:num w:numId="7">
    <w:abstractNumId w:val="7"/>
  </w:num>
  <w:num w:numId="8">
    <w:abstractNumId w:val="0"/>
  </w:num>
  <w:num w:numId="9">
    <w:abstractNumId w:val="1"/>
  </w:num>
  <w:num w:numId="10">
    <w:abstractNumId w:val="22"/>
  </w:num>
  <w:num w:numId="11">
    <w:abstractNumId w:val="24"/>
  </w:num>
  <w:num w:numId="12">
    <w:abstractNumId w:val="21"/>
  </w:num>
  <w:num w:numId="13">
    <w:abstractNumId w:val="6"/>
  </w:num>
  <w:num w:numId="14">
    <w:abstractNumId w:val="17"/>
  </w:num>
  <w:num w:numId="15">
    <w:abstractNumId w:val="23"/>
  </w:num>
  <w:num w:numId="16">
    <w:abstractNumId w:val="20"/>
  </w:num>
  <w:num w:numId="17">
    <w:abstractNumId w:val="19"/>
  </w:num>
  <w:num w:numId="18">
    <w:abstractNumId w:val="5"/>
  </w:num>
  <w:num w:numId="19">
    <w:abstractNumId w:val="18"/>
  </w:num>
  <w:num w:numId="20">
    <w:abstractNumId w:val="14"/>
  </w:num>
  <w:num w:numId="21">
    <w:abstractNumId w:val="9"/>
  </w:num>
  <w:num w:numId="22">
    <w:abstractNumId w:val="3"/>
  </w:num>
  <w:num w:numId="23">
    <w:abstractNumId w:val="10"/>
  </w:num>
  <w:num w:numId="24">
    <w:abstractNumId w:val="13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C5C"/>
    <w:rsid w:val="000159A0"/>
    <w:rsid w:val="00071063"/>
    <w:rsid w:val="000747D7"/>
    <w:rsid w:val="00112DFD"/>
    <w:rsid w:val="00133C5C"/>
    <w:rsid w:val="001C41D1"/>
    <w:rsid w:val="001F3AD6"/>
    <w:rsid w:val="002A51F0"/>
    <w:rsid w:val="003B37CC"/>
    <w:rsid w:val="003D1F9D"/>
    <w:rsid w:val="003F0EAF"/>
    <w:rsid w:val="00407F5D"/>
    <w:rsid w:val="00417CFF"/>
    <w:rsid w:val="00441C2A"/>
    <w:rsid w:val="005F0F5F"/>
    <w:rsid w:val="005F555B"/>
    <w:rsid w:val="005F6ABA"/>
    <w:rsid w:val="00612397"/>
    <w:rsid w:val="0061618F"/>
    <w:rsid w:val="00642487"/>
    <w:rsid w:val="006C76C7"/>
    <w:rsid w:val="0076158B"/>
    <w:rsid w:val="00812362"/>
    <w:rsid w:val="00843022"/>
    <w:rsid w:val="00887B14"/>
    <w:rsid w:val="008E16C4"/>
    <w:rsid w:val="00950C65"/>
    <w:rsid w:val="009556D7"/>
    <w:rsid w:val="009C3DFF"/>
    <w:rsid w:val="00A429DC"/>
    <w:rsid w:val="00A4784D"/>
    <w:rsid w:val="00AA5B69"/>
    <w:rsid w:val="00AB0390"/>
    <w:rsid w:val="00AC5A6A"/>
    <w:rsid w:val="00AD646F"/>
    <w:rsid w:val="00B80FC0"/>
    <w:rsid w:val="00BA34B3"/>
    <w:rsid w:val="00BE6D78"/>
    <w:rsid w:val="00BF670B"/>
    <w:rsid w:val="00CC0887"/>
    <w:rsid w:val="00CE2C76"/>
    <w:rsid w:val="00D01CE8"/>
    <w:rsid w:val="00D26A7C"/>
    <w:rsid w:val="00DB4EF7"/>
    <w:rsid w:val="00E14C10"/>
    <w:rsid w:val="00EC395C"/>
    <w:rsid w:val="00EE55E3"/>
    <w:rsid w:val="00F10E26"/>
    <w:rsid w:val="00F11952"/>
    <w:rsid w:val="00F40E87"/>
    <w:rsid w:val="00F47833"/>
    <w:rsid w:val="00F65CB6"/>
    <w:rsid w:val="00F67B7C"/>
    <w:rsid w:val="00F87E0F"/>
    <w:rsid w:val="00FD17A8"/>
    <w:rsid w:val="00FF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904BBF-2CDE-49A1-B104-50E06B6E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3864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i/>
      <w:iCs/>
      <w:color w:val="595959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6158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158B"/>
    <w:rPr>
      <w:b/>
      <w:bCs/>
    </w:rPr>
  </w:style>
  <w:style w:type="character" w:styleId="Emphasis">
    <w:name w:val="Emphasis"/>
    <w:basedOn w:val="DefaultParagraphFont"/>
    <w:uiPriority w:val="20"/>
    <w:qFormat/>
    <w:rsid w:val="0076158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123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397"/>
  </w:style>
  <w:style w:type="paragraph" w:styleId="Footer">
    <w:name w:val="footer"/>
    <w:basedOn w:val="Normal"/>
    <w:link w:val="FooterChar"/>
    <w:uiPriority w:val="99"/>
    <w:unhideWhenUsed/>
    <w:rsid w:val="006123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397"/>
  </w:style>
  <w:style w:type="paragraph" w:customStyle="1" w:styleId="ds-markdown-paragraph">
    <w:name w:val="ds-markdown-paragraph"/>
    <w:basedOn w:val="Normal"/>
    <w:rsid w:val="00F4783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7C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12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92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12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62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96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921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90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28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02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75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47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82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72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68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291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73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714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74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1601</Words>
  <Characters>9129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Agents, Models &amp; Billing — Architecture Proposal v1</vt:lpstr>
      <vt:lpstr>    Why this exists</vt:lpstr>
      <vt:lpstr>    Design principles</vt:lpstr>
      <vt:lpstr>    Schema additions</vt:lpstr>
      <vt:lpstr>        1. ai_providers (new, global)</vt:lpstr>
      <vt:lpstr>        2. ai_models (new, global)</vt:lpstr>
      <vt:lpstr>        3. ai_model_rates (new, global)</vt:lpstr>
      <vt:lpstr>        4. agents_library (existing — add columns)</vt:lpstr>
      <vt:lpstr>        5. agent_pricing_plans (new)</vt:lpstr>
      <vt:lpstr>        6. tenant_agents (existing — add columns)</vt:lpstr>
      <vt:lpstr>        7. tenant_model_credentials (new)</vt:lpstr>
      <vt:lpstr>        8. agent_usage_log (existing — add columns)</vt:lpstr>
      <vt:lpstr>    Phasing</vt:lpstr>
      <vt:lpstr>    Open questions before I build Phase 1</vt:lpstr>
    </vt:vector>
  </TitlesOfParts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6</cp:revision>
  <dcterms:created xsi:type="dcterms:W3CDTF">2026-09-23T19:19:00Z</dcterms:created>
  <dcterms:modified xsi:type="dcterms:W3CDTF">2026-09-23T19:22:00Z</dcterms:modified>
</cp:coreProperties>
</file>